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9A547" w14:textId="3234B73A" w:rsidR="00736CEF" w:rsidRDefault="00000000">
      <w:pPr>
        <w:spacing w:after="120"/>
        <w:jc w:val="center"/>
      </w:pPr>
      <w:r>
        <w:rPr>
          <w:b/>
          <w:sz w:val="40"/>
        </w:rPr>
        <w:t xml:space="preserve">EduInsight: Academic ERP for Student </w:t>
      </w:r>
      <w:r w:rsidR="007A20FB">
        <w:rPr>
          <w:b/>
          <w:sz w:val="40"/>
        </w:rPr>
        <w:t>Performance</w:t>
      </w:r>
    </w:p>
    <w:tbl>
      <w:tblPr>
        <w:tblW w:w="0" w:type="auto"/>
        <w:jc w:val="center"/>
        <w:tblLook w:val="04A0" w:firstRow="1" w:lastRow="0" w:firstColumn="1" w:lastColumn="0" w:noHBand="0" w:noVBand="1"/>
      </w:tblPr>
      <w:tblGrid>
        <w:gridCol w:w="3326"/>
        <w:gridCol w:w="3326"/>
        <w:gridCol w:w="3326"/>
      </w:tblGrid>
      <w:tr w:rsidR="00736CEF" w14:paraId="01FECF6C" w14:textId="77777777">
        <w:trPr>
          <w:jc w:val="center"/>
        </w:trPr>
        <w:tc>
          <w:tcPr>
            <w:tcW w:w="3326" w:type="dxa"/>
            <w:tcBorders>
              <w:top w:val="nil"/>
              <w:left w:val="nil"/>
              <w:bottom w:val="nil"/>
              <w:right w:val="nil"/>
            </w:tcBorders>
          </w:tcPr>
          <w:p w14:paraId="0DF65503" w14:textId="600A2F7B" w:rsidR="00736CEF" w:rsidRDefault="00736CEF">
            <w:pPr>
              <w:jc w:val="center"/>
            </w:pPr>
          </w:p>
        </w:tc>
        <w:tc>
          <w:tcPr>
            <w:tcW w:w="3326" w:type="dxa"/>
            <w:tcBorders>
              <w:top w:val="nil"/>
              <w:left w:val="nil"/>
              <w:bottom w:val="nil"/>
              <w:right w:val="nil"/>
            </w:tcBorders>
          </w:tcPr>
          <w:p w14:paraId="3E27FAC1" w14:textId="1AB2FFC0" w:rsidR="00736CEF" w:rsidRDefault="00736CEF">
            <w:pPr>
              <w:jc w:val="center"/>
            </w:pPr>
          </w:p>
        </w:tc>
        <w:tc>
          <w:tcPr>
            <w:tcW w:w="3326" w:type="dxa"/>
            <w:tcBorders>
              <w:top w:val="nil"/>
              <w:left w:val="nil"/>
              <w:bottom w:val="nil"/>
              <w:right w:val="nil"/>
            </w:tcBorders>
          </w:tcPr>
          <w:p w14:paraId="1ECB8D77" w14:textId="679A04B2" w:rsidR="00736CEF" w:rsidRDefault="00736CEF">
            <w:pPr>
              <w:jc w:val="center"/>
            </w:pPr>
          </w:p>
        </w:tc>
      </w:tr>
      <w:tr w:rsidR="00736CEF" w14:paraId="0ACCB34B" w14:textId="77777777">
        <w:trPr>
          <w:jc w:val="center"/>
        </w:trPr>
        <w:tc>
          <w:tcPr>
            <w:tcW w:w="3326" w:type="dxa"/>
            <w:tcBorders>
              <w:top w:val="nil"/>
              <w:left w:val="nil"/>
              <w:bottom w:val="nil"/>
              <w:right w:val="nil"/>
            </w:tcBorders>
          </w:tcPr>
          <w:p w14:paraId="276816C3" w14:textId="67D79CD8" w:rsidR="00736CEF" w:rsidRDefault="00736CEF">
            <w:pPr>
              <w:jc w:val="center"/>
            </w:pPr>
          </w:p>
        </w:tc>
        <w:tc>
          <w:tcPr>
            <w:tcW w:w="3326" w:type="dxa"/>
            <w:tcBorders>
              <w:top w:val="nil"/>
              <w:left w:val="nil"/>
              <w:bottom w:val="nil"/>
              <w:right w:val="nil"/>
            </w:tcBorders>
          </w:tcPr>
          <w:p w14:paraId="5F3DF6FB" w14:textId="1A91D651" w:rsidR="00736CEF" w:rsidRDefault="00736CEF">
            <w:pPr>
              <w:jc w:val="center"/>
            </w:pPr>
          </w:p>
        </w:tc>
        <w:tc>
          <w:tcPr>
            <w:tcW w:w="3326" w:type="dxa"/>
            <w:tcBorders>
              <w:top w:val="nil"/>
              <w:left w:val="nil"/>
              <w:bottom w:val="nil"/>
              <w:right w:val="nil"/>
            </w:tcBorders>
          </w:tcPr>
          <w:p w14:paraId="6738D83E" w14:textId="01CC6D82" w:rsidR="00736CEF" w:rsidRDefault="00736CEF">
            <w:pPr>
              <w:jc w:val="center"/>
            </w:pPr>
          </w:p>
        </w:tc>
      </w:tr>
    </w:tbl>
    <w:p w14:paraId="6A0705E2" w14:textId="77777777" w:rsidR="00736CEF" w:rsidRDefault="00000000">
      <w:pPr>
        <w:spacing w:before="160" w:after="40"/>
      </w:pPr>
      <w:r>
        <w:rPr>
          <w:b/>
          <w:i/>
          <w:sz w:val="19"/>
        </w:rPr>
        <w:t>Abstract—</w:t>
      </w:r>
      <w:r>
        <w:rPr>
          <w:sz w:val="19"/>
        </w:rPr>
        <w:t>Educational institutions generate academic information through attendance systems, assessment records, examination processes, and student administration, yet these sources are often difficult to use together for timely academic support. This paper presents EduInsight, a role-aware academic enterprise resource planning platform that combines student record management, data ingestion, data-quality assessment, exploratory analytics, transparent risk scoring, machine learning benchmarking, backlog administration, and student self-service. The platform separates operational risk rules from experimental predictive models. A policy-based score uses active backlogs, attendance, internal assessment performance, and previous semester performance to classify students into low-, medium-, and high-risk groups, while Logistic Regression, Decision Tree, Random Forest, and K-Nearest Neighbors are benchmarked using standard classification metrics. The reference implementation uses React and Vite with browser-based persistence and contains 75 synthetic student profiles across five engineering departments. The study positions the contribution as workflow integration and explainable decision support rather than a new learning algorithm. Because the present labels are derived from project rules and the records are synthetic, the results demonstrate system feasibility rather than validated prediction of failure, dropout, or graduation. The paper identifies a path toward temporal validation, secure backend deployment, observed academic outcomes, and faculty-centered intervention evaluation.</w:t>
      </w:r>
    </w:p>
    <w:p w14:paraId="2A798D70" w14:textId="77777777" w:rsidR="00736CEF" w:rsidRDefault="00000000">
      <w:pPr>
        <w:spacing w:after="160"/>
      </w:pPr>
      <w:r>
        <w:rPr>
          <w:b/>
          <w:i/>
          <w:sz w:val="19"/>
        </w:rPr>
        <w:t>Keywords—</w:t>
      </w:r>
      <w:r>
        <w:rPr>
          <w:sz w:val="19"/>
        </w:rPr>
        <w:t>academic ERP, educational data mining, learning analytics, student risk assessment, backlog management, explainable machine learning, early warning, role-based access</w:t>
      </w:r>
    </w:p>
    <w:p w14:paraId="1433CF77" w14:textId="77777777" w:rsidR="00736CEF" w:rsidRDefault="00736CEF">
      <w:pPr>
        <w:sectPr w:rsidR="00736CEF">
          <w:footerReference w:type="default" r:id="rId8"/>
          <w:pgSz w:w="11906" w:h="16838"/>
          <w:pgMar w:top="1077" w:right="964" w:bottom="1020" w:left="964" w:header="454" w:footer="454" w:gutter="0"/>
          <w:cols w:space="720"/>
          <w:docGrid w:linePitch="360"/>
        </w:sectPr>
      </w:pPr>
    </w:p>
    <w:p w14:paraId="22AAD08A" w14:textId="77777777" w:rsidR="00736CEF" w:rsidRDefault="00000000">
      <w:pPr>
        <w:keepNext/>
        <w:spacing w:before="100" w:after="40"/>
      </w:pPr>
      <w:r>
        <w:rPr>
          <w:b/>
        </w:rPr>
        <w:t>I. INTRODUCTION</w:t>
      </w:r>
    </w:p>
    <w:p w14:paraId="0E0EFC7A" w14:textId="77777777" w:rsidR="00736CEF" w:rsidRDefault="00000000">
      <w:pPr>
        <w:jc w:val="both"/>
      </w:pPr>
      <w:r>
        <w:t>Higher education institutions manage a growing volume of student information, including personal profiles, attendance, internal assessment, semester grades, examination attempts, and unresolved course requirements. When these records remain separated across spreadsheets or departmental systems, academic staff may spend substantial effort assembling a student's current position before deciding whether support is required. The problem is not only one of data storage. It also concerns timing, interpretation, and action: an institution needs to know which indicators matter, which students need review, and what administrative workflow should follow.</w:t>
      </w:r>
    </w:p>
    <w:p w14:paraId="6FF88C97" w14:textId="77777777" w:rsidR="00736CEF" w:rsidRDefault="00000000">
      <w:pPr>
        <w:jc w:val="both"/>
      </w:pPr>
      <w:r>
        <w:t>Educational data mining provides methods for extracting useful patterns from educational records and has been applied to performance prediction, progression analysis, and early-warning systems [1]–[5]. At the same time, predictive models can become difficult for non-technical users to interpret. Explainability research emphasizes that users may need reasons for individual model outputs before acting on them [7], [8]. These observations motivate an integrated design in which academic administration and analytics are treated as connected functions rather than isolated applications.</w:t>
      </w:r>
    </w:p>
    <w:p w14:paraId="2D366681" w14:textId="77777777" w:rsidR="00736CEF" w:rsidRDefault="00000000">
      <w:pPr>
        <w:jc w:val="both"/>
      </w:pPr>
      <w:r>
        <w:t>EduInsight addresses this design problem through a role-aware academic enterprise resource planning (ERP) platform. Its administrator, faculty, and student workspaces expose different tasks while sharing a common academic data model. The platform includes data ingestion and validation, exploratory data analysis, a deterministic risk engine, a model laboratory, subject-level backlog management, supplementary examination workflows, reporting, and audit history.</w:t>
      </w:r>
    </w:p>
    <w:p w14:paraId="1B074133" w14:textId="77777777" w:rsidR="00736CEF" w:rsidRDefault="00000000">
      <w:pPr>
        <w:jc w:val="both"/>
      </w:pPr>
      <w:r>
        <w:t xml:space="preserve">The main contribution of this work is therefore architectural and workflow-oriented. The system does not propose a novel machine learning algorithm. Instead, it demonstrates how structured academic data, interpretable risk rules, model benchmarking, and recovery-oriented workflows can be combined in one application. The implementation is intentionally transparent about its boundaries: the current dataset is synthetic, the risk labels </w:t>
      </w:r>
      <w:r>
        <w:t>are policy-derived, and browser-based access control is not equivalent to production security.</w:t>
      </w:r>
    </w:p>
    <w:p w14:paraId="005D0F4F" w14:textId="77777777" w:rsidR="00736CEF" w:rsidRDefault="00000000">
      <w:pPr>
        <w:keepNext/>
        <w:spacing w:before="100" w:after="40"/>
      </w:pPr>
      <w:r>
        <w:rPr>
          <w:b/>
        </w:rPr>
        <w:t>II. RELATED WORK</w:t>
      </w:r>
    </w:p>
    <w:p w14:paraId="0D20EBA5" w14:textId="77777777" w:rsidR="00736CEF" w:rsidRDefault="00000000">
      <w:pPr>
        <w:jc w:val="both"/>
      </w:pPr>
      <w:r>
        <w:t>Cortez and Silva demonstrated that student performance can be modeled using academic and contextual variables and evaluated multiple data mining approaches [1]. Their work supports the inclusion of prior performance and attendance-related information in educational analytics, while also showing why prediction quality depends on what information is available at prediction time.</w:t>
      </w:r>
    </w:p>
    <w:p w14:paraId="42FCD749" w14:textId="77777777" w:rsidR="00736CEF" w:rsidRDefault="00000000">
      <w:pPr>
        <w:jc w:val="both"/>
      </w:pPr>
      <w:r>
        <w:t>Romero and Ventura surveyed educational data mining and described the field as an interdisciplinary area for analyzing educational data and supporting educational questions [2]. Their later survey with an updated view of learning analytics further reinforces the importance of preprocessing, pattern discovery, prediction, and decision support [6]. EduInsight follows this pipeline by connecting data-quality checks, exploratory analysis, risk assessment, and operational workflows.</w:t>
      </w:r>
    </w:p>
    <w:p w14:paraId="78DBD22A" w14:textId="77777777" w:rsidR="00736CEF" w:rsidRDefault="00000000">
      <w:pPr>
        <w:jc w:val="both"/>
      </w:pPr>
      <w:r>
        <w:t>Shahiri, Husain, and Rashid reviewed techniques and attributes used for student performance prediction and emphasized the diversity of methods used in the literature [3]. This supports benchmarking several baseline classifiers instead of assuming that one algorithm will perform best for every institution or target outcome.</w:t>
      </w:r>
    </w:p>
    <w:p w14:paraId="241A9131" w14:textId="77777777" w:rsidR="00736CEF" w:rsidRDefault="00000000">
      <w:pPr>
        <w:jc w:val="both"/>
      </w:pPr>
      <w:r>
        <w:t>Asif et al. studied undergraduate performance using educational data mining, including prediction of academic achievement and analysis of progression over a multi-year period [4]. This is particularly relevant to EduInsight because the platform preserves semester history and treats academic progression as a longitudinal process rather than a single final score.</w:t>
      </w:r>
    </w:p>
    <w:p w14:paraId="2A40C910" w14:textId="77777777" w:rsidR="00736CEF" w:rsidRDefault="00000000">
      <w:pPr>
        <w:jc w:val="both"/>
      </w:pPr>
      <w:r>
        <w:t>Lakkaraju et al. developed a machine learning framework for identifying students at risk of adverse academic outcomes and considered evaluation measures relevant to educational administrators [5]. Their work is closely aligned with the early-warning motivation of EduInsight, but the current project differs in scope by embedding risk information inside an academic ERP and by separating risk rules from experimental prediction.</w:t>
      </w:r>
    </w:p>
    <w:p w14:paraId="126E3080" w14:textId="77777777" w:rsidR="00736CEF" w:rsidRDefault="00000000">
      <w:pPr>
        <w:jc w:val="both"/>
      </w:pPr>
      <w:r>
        <w:lastRenderedPageBreak/>
        <w:t>Explainability is another important design consideration. Ribeiro et al. introduced LIME for local, model-agnostic explanations [7], while Lundberg and Lee proposed SHAP as a unified feature-attribution framework [8]. EduInsight currently uses exact contributions from its deterministic policy and permutation feature importance for model analysis. LIME or SHAP can be added later, but policy contributions should not be described as model explanations because they explain the rule system rather than a learned classifier.</w:t>
      </w:r>
    </w:p>
    <w:p w14:paraId="28474F21" w14:textId="77777777" w:rsidR="00736CEF" w:rsidRDefault="00000000">
      <w:pPr>
        <w:keepNext/>
        <w:spacing w:before="100" w:after="40"/>
      </w:pPr>
      <w:r>
        <w:rPr>
          <w:b/>
        </w:rPr>
        <w:t>III. PROBLEM DEFINITION AND OBJECTIVES</w:t>
      </w:r>
    </w:p>
    <w:p w14:paraId="52B37A68" w14:textId="77777777" w:rsidR="00736CEF" w:rsidRDefault="00000000">
      <w:pPr>
        <w:jc w:val="both"/>
      </w:pPr>
      <w:r>
        <w:t>The project targets a practical gap between academic record management and student risk analytics. Existing institutional workflows may record grades and backlogs without providing a unified view of risk, while standalone prediction experiments may produce scores without a mechanism for mentor review or academic recovery. EduInsight frames the problem as an integrated decision-support workflow.</w:t>
      </w:r>
    </w:p>
    <w:p w14:paraId="4A6BC451" w14:textId="77777777" w:rsidR="00736CEF" w:rsidRDefault="00000000">
      <w:pPr>
        <w:jc w:val="both"/>
      </w:pPr>
      <w:r>
        <w:t>The objectives of the system are to:</w:t>
      </w:r>
    </w:p>
    <w:p w14:paraId="23573DC8" w14:textId="77777777" w:rsidR="00736CEF" w:rsidRDefault="00000000">
      <w:pPr>
        <w:pStyle w:val="ListBullet"/>
        <w:spacing w:after="30"/>
        <w:ind w:left="230" w:hanging="144"/>
      </w:pPr>
      <w:r>
        <w:rPr>
          <w:sz w:val="19"/>
        </w:rPr>
        <w:t>maintain structured student profiles and semester-wise academic records;</w:t>
      </w:r>
    </w:p>
    <w:p w14:paraId="64E9D9C7" w14:textId="77777777" w:rsidR="00736CEF" w:rsidRDefault="00000000">
      <w:pPr>
        <w:pStyle w:val="ListBullet"/>
        <w:spacing w:after="30"/>
        <w:ind w:left="230" w:hanging="144"/>
      </w:pPr>
      <w:r>
        <w:rPr>
          <w:sz w:val="19"/>
        </w:rPr>
        <w:t>provide separate administrator, faculty, and student workspaces;</w:t>
      </w:r>
    </w:p>
    <w:p w14:paraId="7A548301" w14:textId="77777777" w:rsidR="00736CEF" w:rsidRDefault="00000000">
      <w:pPr>
        <w:pStyle w:val="ListBullet"/>
        <w:spacing w:after="30"/>
        <w:ind w:left="230" w:hanging="144"/>
      </w:pPr>
      <w:r>
        <w:rPr>
          <w:sz w:val="19"/>
        </w:rPr>
        <w:t>ingest and standardize academic data while detecting quality problems;</w:t>
      </w:r>
    </w:p>
    <w:p w14:paraId="1732A3CB" w14:textId="77777777" w:rsidR="00736CEF" w:rsidRDefault="00000000">
      <w:pPr>
        <w:pStyle w:val="ListBullet"/>
        <w:spacing w:after="30"/>
        <w:ind w:left="230" w:hanging="144"/>
      </w:pPr>
      <w:r>
        <w:rPr>
          <w:sz w:val="19"/>
        </w:rPr>
        <w:t>support exploratory analysis of attendance, performance, departments, and backlogs;</w:t>
      </w:r>
    </w:p>
    <w:p w14:paraId="0CC261EA" w14:textId="77777777" w:rsidR="00736CEF" w:rsidRDefault="00000000">
      <w:pPr>
        <w:pStyle w:val="ListBullet"/>
        <w:spacing w:after="30"/>
        <w:ind w:left="230" w:hanging="144"/>
      </w:pPr>
      <w:r>
        <w:rPr>
          <w:sz w:val="19"/>
        </w:rPr>
        <w:t>identify academic risk through a transparent policy score;</w:t>
      </w:r>
    </w:p>
    <w:p w14:paraId="18330635" w14:textId="77777777" w:rsidR="00736CEF" w:rsidRDefault="00000000">
      <w:pPr>
        <w:pStyle w:val="ListBullet"/>
        <w:spacing w:after="30"/>
        <w:ind w:left="230" w:hanging="144"/>
      </w:pPr>
      <w:r>
        <w:rPr>
          <w:sz w:val="19"/>
        </w:rPr>
        <w:t>benchmark multiple classification algorithms under a common evaluation pipeline;</w:t>
      </w:r>
    </w:p>
    <w:p w14:paraId="7881DB91" w14:textId="77777777" w:rsidR="00736CEF" w:rsidRDefault="00000000">
      <w:pPr>
        <w:pStyle w:val="ListBullet"/>
        <w:spacing w:after="30"/>
        <w:ind w:left="230" w:hanging="144"/>
      </w:pPr>
      <w:r>
        <w:rPr>
          <w:sz w:val="19"/>
        </w:rPr>
        <w:t>maintain subject-level backlog and examination information;</w:t>
      </w:r>
    </w:p>
    <w:p w14:paraId="28D15259" w14:textId="77777777" w:rsidR="00736CEF" w:rsidRDefault="00000000">
      <w:pPr>
        <w:pStyle w:val="ListBullet"/>
        <w:spacing w:after="30"/>
        <w:ind w:left="230" w:hanging="144"/>
      </w:pPr>
      <w:r>
        <w:rPr>
          <w:sz w:val="19"/>
        </w:rPr>
        <w:t>support supplementary examination applications and recovery scenarios; and</w:t>
      </w:r>
    </w:p>
    <w:p w14:paraId="0150DFCD" w14:textId="77777777" w:rsidR="00736CEF" w:rsidRDefault="00000000">
      <w:pPr>
        <w:pStyle w:val="ListBullet"/>
        <w:spacing w:after="30"/>
        <w:ind w:left="230" w:hanging="144"/>
      </w:pPr>
      <w:r>
        <w:rPr>
          <w:sz w:val="19"/>
        </w:rPr>
        <w:t>generate reports and maintain traceable application events.</w:t>
      </w:r>
    </w:p>
    <w:p w14:paraId="16A6692F" w14:textId="77777777" w:rsidR="00736CEF" w:rsidRDefault="00000000">
      <w:pPr>
        <w:keepNext/>
        <w:spacing w:before="100" w:after="40"/>
      </w:pPr>
      <w:r>
        <w:rPr>
          <w:b/>
        </w:rPr>
        <w:t>IV. SYSTEM ARCHITECTURE</w:t>
      </w:r>
    </w:p>
    <w:p w14:paraId="091DDBEA" w14:textId="77777777" w:rsidR="00736CEF" w:rsidRDefault="00000000">
      <w:pPr>
        <w:jc w:val="both"/>
      </w:pPr>
      <w:r>
        <w:t>Fig. 1 summarizes the conceptual architecture. Academic information enters through profile, attendance, assessment, examination, and backlog sources. The ingestion layer standardizes fields, checks identifiers, removes exact duplicates, and prepares numerical values for downstream analysis. The analytics layer then supports descriptive exploration, deterministic risk scoring, and machine learning benchmarking. The resulting information is presented through ERP workflows and role-aware workspaces.</w:t>
      </w:r>
    </w:p>
    <w:p w14:paraId="598A4296" w14:textId="77777777" w:rsidR="00736CEF" w:rsidRDefault="00000000">
      <w:pPr>
        <w:jc w:val="center"/>
      </w:pPr>
      <w:r>
        <w:rPr>
          <w:noProof/>
        </w:rPr>
        <w:drawing>
          <wp:inline distT="0" distB="0" distL="0" distR="0" wp14:anchorId="74BF6ACB" wp14:editId="21ED9CD2">
            <wp:extent cx="3420438" cy="1732111"/>
            <wp:effectExtent l="0" t="0" r="889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uinsight_architecture.png"/>
                    <pic:cNvPicPr/>
                  </pic:nvPicPr>
                  <pic:blipFill>
                    <a:blip r:embed="rId9"/>
                    <a:stretch>
                      <a:fillRect/>
                    </a:stretch>
                  </pic:blipFill>
                  <pic:spPr>
                    <a:xfrm>
                      <a:off x="0" y="0"/>
                      <a:ext cx="3445646" cy="1744876"/>
                    </a:xfrm>
                    <a:prstGeom prst="rect">
                      <a:avLst/>
                    </a:prstGeom>
                  </pic:spPr>
                </pic:pic>
              </a:graphicData>
            </a:graphic>
          </wp:inline>
        </w:drawing>
      </w:r>
    </w:p>
    <w:p w14:paraId="28295AE2" w14:textId="77777777" w:rsidR="00736CEF" w:rsidRDefault="00000000">
      <w:pPr>
        <w:spacing w:before="40" w:after="80"/>
        <w:jc w:val="center"/>
      </w:pPr>
      <w:r>
        <w:rPr>
          <w:b/>
          <w:sz w:val="16"/>
        </w:rPr>
        <w:t>Fig. 1. Conceptual architecture of the EduInsight platform.</w:t>
      </w:r>
    </w:p>
    <w:p w14:paraId="55905EED" w14:textId="77777777" w:rsidR="00736CEF" w:rsidRDefault="00000000">
      <w:pPr>
        <w:keepNext/>
        <w:spacing w:before="100" w:after="40"/>
      </w:pPr>
      <w:r>
        <w:rPr>
          <w:b/>
        </w:rPr>
        <w:t>A. ROLE-AWARE ACCESS</w:t>
      </w:r>
    </w:p>
    <w:p w14:paraId="1E96873C" w14:textId="77777777" w:rsidR="00736CEF" w:rsidRDefault="00000000">
      <w:pPr>
        <w:jc w:val="both"/>
      </w:pPr>
      <w:r>
        <w:t>Three principal roles are represented. Administrators manage institutional records, imports, quality checks, benchmarking, reports, settings, and audit history. Faculty or mentors review student performance, inspect risk factors, manage backlog information, and prepare intervention-oriented reports. Students access their own academic information, inspect risk explanations, review backlog status, apply for supplementary examinations, and explore recovery scenarios. The reference implementation enforces these distinctions in the frontend. Production deployment would require server-side authorization, authenticated sessions, secure storage, and database-level access controls.</w:t>
      </w:r>
    </w:p>
    <w:p w14:paraId="0FCEDA2C" w14:textId="77777777" w:rsidR="00736CEF" w:rsidRDefault="00000000">
      <w:pPr>
        <w:keepNext/>
        <w:spacing w:before="100" w:after="40"/>
      </w:pPr>
      <w:r>
        <w:rPr>
          <w:b/>
        </w:rPr>
        <w:t>B. DATA INGESTION AND QUALITY</w:t>
      </w:r>
    </w:p>
    <w:p w14:paraId="0D948781" w14:textId="77777777" w:rsidR="00736CEF" w:rsidRDefault="00000000">
      <w:pPr>
        <w:jc w:val="both"/>
      </w:pPr>
      <w:r>
        <w:t>The ingestion layer is designed around a sequence of transformations. Source columns are normalized, records are joined through the student identifier, exact duplicates are removed, and missing numerical values can be imputed. The quality dashboard reports schema validity, completeness, identifier uniqueness, referential integrity, and potential outliers. These checks are important because an apparently accurate model can still produce unreliable decisions when its input data are incomplete or inconsistent.</w:t>
      </w:r>
    </w:p>
    <w:p w14:paraId="161F1836" w14:textId="77777777" w:rsidR="00736CEF" w:rsidRDefault="00000000">
      <w:pPr>
        <w:keepNext/>
        <w:spacing w:before="100" w:after="40"/>
      </w:pPr>
      <w:r>
        <w:rPr>
          <w:b/>
        </w:rPr>
        <w:t>C. ACADEMIC WORKFLOW MODULES</w:t>
      </w:r>
    </w:p>
    <w:p w14:paraId="41F099DF" w14:textId="77777777" w:rsidR="00736CEF" w:rsidRDefault="00000000">
      <w:pPr>
        <w:jc w:val="both"/>
      </w:pPr>
      <w:r>
        <w:t>The ERP portion contains a student directory, student drill-down pages, semester records, backlog registry, examination information, reporting, and audit history. The backlog registry records individual subjects rather than only a backlog count. It can represent attempts, fee status, clearance status, and examination schedules. This subject-level representation enables recovery scenarios and provides a richer operational context for risk review.</w:t>
      </w:r>
    </w:p>
    <w:p w14:paraId="464BDA13" w14:textId="77777777" w:rsidR="00736CEF" w:rsidRDefault="00000000">
      <w:pPr>
        <w:keepNext/>
        <w:spacing w:before="100" w:after="40"/>
      </w:pPr>
      <w:r>
        <w:rPr>
          <w:b/>
        </w:rPr>
        <w:t>V. RISK ASSESSMENT METHODOLOGY</w:t>
      </w:r>
    </w:p>
    <w:p w14:paraId="66F9F17A" w14:textId="77777777" w:rsidR="00736CEF" w:rsidRDefault="00000000">
      <w:pPr>
        <w:jc w:val="both"/>
      </w:pPr>
      <w:r>
        <w:t>EduInsight uses a deterministic policy score to provide an interpretable first-line risk indicator. Let Nb denote the number of active backlogs, Pa the attendance percentage, Mi the normalized internal assessment average, and Gp the previous available semester GPA. The score is bounded at 100 and is formed from four capped components:</w:t>
      </w:r>
    </w:p>
    <w:p w14:paraId="1DB1C8B6" w14:textId="77777777" w:rsidR="00736CEF" w:rsidRDefault="00000000">
      <w:pPr>
        <w:spacing w:after="40"/>
        <w:jc w:val="center"/>
      </w:pPr>
      <w:r>
        <w:rPr>
          <w:i/>
        </w:rPr>
        <w:t>R = min(100, B + A + I + S)</w:t>
      </w:r>
    </w:p>
    <w:p w14:paraId="486DBD77" w14:textId="77777777" w:rsidR="00736CEF" w:rsidRDefault="00000000">
      <w:pPr>
        <w:spacing w:after="20"/>
        <w:jc w:val="center"/>
      </w:pPr>
      <w:r>
        <w:rPr>
          <w:i/>
          <w:sz w:val="19"/>
        </w:rPr>
        <w:t>B = min(54, 18 × Nb)</w:t>
      </w:r>
    </w:p>
    <w:p w14:paraId="350A65C8" w14:textId="77777777" w:rsidR="00736CEF" w:rsidRDefault="00000000">
      <w:pPr>
        <w:spacing w:after="20"/>
        <w:jc w:val="center"/>
      </w:pPr>
      <w:r>
        <w:rPr>
          <w:i/>
          <w:sz w:val="19"/>
        </w:rPr>
        <w:t>A = min(25, 1.25 × max(0, 75 − Pa))</w:t>
      </w:r>
    </w:p>
    <w:p w14:paraId="6AEF848B" w14:textId="77777777" w:rsidR="00736CEF" w:rsidRDefault="00000000">
      <w:pPr>
        <w:spacing w:after="20"/>
        <w:jc w:val="center"/>
      </w:pPr>
      <w:r>
        <w:rPr>
          <w:i/>
          <w:sz w:val="19"/>
        </w:rPr>
        <w:t>I = min(15, 0.6 × max(0, 50 − Mi))</w:t>
      </w:r>
    </w:p>
    <w:p w14:paraId="01BCAF01" w14:textId="77777777" w:rsidR="00736CEF" w:rsidRDefault="00000000">
      <w:pPr>
        <w:spacing w:after="20"/>
        <w:jc w:val="center"/>
      </w:pPr>
      <w:r>
        <w:rPr>
          <w:i/>
          <w:sz w:val="19"/>
        </w:rPr>
        <w:t>S = min(15, 5 × max(0, 6 − Gp))</w:t>
      </w:r>
    </w:p>
    <w:p w14:paraId="3E92590F" w14:textId="77777777" w:rsidR="00736CEF" w:rsidRDefault="00000000">
      <w:pPr>
        <w:jc w:val="both"/>
      </w:pPr>
      <w:r>
        <w:t>After rounding, the score is mapped to three categories: below 25 is Low Risk, 25–49 is Medium Risk, and 50 or above is High Risk. The dashboard also displays the component contributions so that a mentor can see whether a student's classification is driven primarily by backlogs, attendance, internal assessment, or previous academic performance.</w:t>
      </w:r>
    </w:p>
    <w:p w14:paraId="0F6F67ED" w14:textId="77777777" w:rsidR="00736CEF" w:rsidRDefault="00000000">
      <w:pPr>
        <w:jc w:val="both"/>
      </w:pPr>
      <w:r>
        <w:t>These coefficients are project-defined demonstration rules. They should not be interpreted as scientifically established weights, university regulations, or causal effects. Their principal purpose is transparency and deterministic behavior. In a production research study, the rule thresholds should be reviewed with academic stakeholders and compared with independently observed outcomes.</w:t>
      </w:r>
    </w:p>
    <w:p w14:paraId="3FF2A08D" w14:textId="77777777" w:rsidR="00736CEF" w:rsidRDefault="00000000">
      <w:pPr>
        <w:keepNext/>
        <w:spacing w:before="100" w:after="40"/>
      </w:pPr>
      <w:r>
        <w:rPr>
          <w:b/>
        </w:rPr>
        <w:lastRenderedPageBreak/>
        <w:t>VI. MACHINE LEARNING BENCHMARKING</w:t>
      </w:r>
    </w:p>
    <w:p w14:paraId="5A061691" w14:textId="77777777" w:rsidR="00736CEF" w:rsidRDefault="00000000">
      <w:pPr>
        <w:jc w:val="both"/>
      </w:pPr>
      <w:r>
        <w:t>The model laboratory benchmarks Logistic Regression, Decision Tree, Random Forest, and K-Nearest Neighbors (KNN). The objective is comparative rather than algorithmic novelty. Each model receives a common feature representation and is evaluated using accuracy, precision, recall, F1-score, ROC-AUC, confusion matrices, and permutation feature importance.</w:t>
      </w:r>
    </w:p>
    <w:p w14:paraId="369C8E3F" w14:textId="77777777" w:rsidR="00736CEF" w:rsidRDefault="00000000">
      <w:pPr>
        <w:jc w:val="both"/>
      </w:pPr>
      <w:r>
        <w:t>The current implementation uses a stratified training-holdout split. This is appropriate for a demonstration but is not sufficient evidence for institutional deployment. When repeated observations from the same students or multiple cohorts are available, temporal validation and student-level partitioning are preferable. Learned preprocessing such as imputation must also be fitted using training data only.</w:t>
      </w:r>
    </w:p>
    <w:p w14:paraId="2F09CAFF" w14:textId="77777777" w:rsidR="00736CEF" w:rsidRDefault="00000000">
      <w:pPr>
        <w:jc w:val="both"/>
      </w:pPr>
      <w:r>
        <w:t>A critical methodological issue is the definition of the target. The current demonstration derives labels from the deterministic risk policy. Therefore, the machine learning experiment measures how well the classifiers reproduce the project's own rule-generated categories. It does not measure whether the models can predict future course failure, academic probation, dropout, or graduation. A stronger research evaluation should use an independently observed future outcome, such as failure in at least one course in the following semester.</w:t>
      </w:r>
    </w:p>
    <w:p w14:paraId="0588DEF8" w14:textId="77777777" w:rsidR="00736CEF" w:rsidRDefault="00736CEF">
      <w:pPr>
        <w:spacing w:after="20"/>
      </w:pPr>
    </w:p>
    <w:p w14:paraId="6EDE7E66" w14:textId="77777777" w:rsidR="00736CEF" w:rsidRDefault="00000000">
      <w:pPr>
        <w:keepNext/>
        <w:spacing w:before="100" w:after="40"/>
      </w:pPr>
      <w:r>
        <w:rPr>
          <w:b/>
        </w:rPr>
        <w:t>VII. DATASET AND IMPLEMENTATION</w:t>
      </w:r>
    </w:p>
    <w:p w14:paraId="68A3F2A2" w14:textId="77777777" w:rsidR="00736CEF" w:rsidRDefault="00000000">
      <w:pPr>
        <w:jc w:val="both"/>
      </w:pPr>
      <w:r>
        <w:t>The reference implementation contains 75 synthetic student profiles distributed across Computer Science and Engineering, Electronics and Communication Engineering, Mechanical Engineering, Information Technology, and Civil Engineering. Records contain roll number, department, semester, section, CGPA, semester-wise SGPA, internal assessment marks, attendance, subject-level grade points, active and cleared backlogs, examination attempts, fee status, study hours, and selected socio-academic attributes.</w:t>
      </w:r>
    </w:p>
    <w:p w14:paraId="74A01A1F" w14:textId="77777777" w:rsidR="00736CEF" w:rsidRDefault="00000000">
      <w:pPr>
        <w:jc w:val="both"/>
      </w:pPr>
      <w:r>
        <w:t>Synthetic data are useful for demonstrating application behavior without exposing personal educational records. They also permit controlled testing of edge cases such as missing values, multiple backlogs, low attendance, and backlog clearance. However, synthetic records cannot establish external validity. Real institutional data would require governance, consent or appropriate legal basis, access control, de-identification, and a clearly defined prediction target.</w:t>
      </w:r>
    </w:p>
    <w:p w14:paraId="3D171F55" w14:textId="77777777" w:rsidR="00736CEF" w:rsidRDefault="00000000">
      <w:pPr>
        <w:jc w:val="both"/>
      </w:pPr>
      <w:r>
        <w:t>The reference software uses React 18 and Vite for the interface, Chart.js and react-chartjs-2 for visualization, PapaParse for CSV processing, read-excel-file for spreadsheet ingestion, React Context for state management, browser storage for demonstration persistence, and CSV/browser print or PDF mechanisms for reporting. The architecture is intentionally lightweight so that the prototype can demonstrate the complete workflow without requiring a production backend.</w:t>
      </w:r>
    </w:p>
    <w:p w14:paraId="3B19D453" w14:textId="77777777" w:rsidR="00736CEF" w:rsidRDefault="00000000">
      <w:pPr>
        <w:keepNext/>
        <w:spacing w:before="100" w:after="40"/>
      </w:pPr>
      <w:r>
        <w:rPr>
          <w:b/>
        </w:rPr>
        <w:t>VIII. RESULTS AND DISCUSSION</w:t>
      </w:r>
    </w:p>
    <w:p w14:paraId="68F342D3" w14:textId="77777777" w:rsidR="00736CEF" w:rsidRDefault="00000000">
      <w:pPr>
        <w:jc w:val="both"/>
      </w:pPr>
      <w:r>
        <w:t xml:space="preserve">The present study reports system-level findings rather than fabricated predictive scores. The implementation demonstrates that academic records can be organized into a shared student model, quality checks can be exposed before analysis, policy-based risk can be explained through its </w:t>
      </w:r>
      <w:r>
        <w:t>component contributions, and the same student record can support administrative, faculty, and student workflows.</w:t>
      </w:r>
    </w:p>
    <w:p w14:paraId="57578E37" w14:textId="77777777" w:rsidR="00736CEF" w:rsidRDefault="00000000">
      <w:pPr>
        <w:jc w:val="both"/>
      </w:pPr>
      <w:r>
        <w:t>The strongest practical feature is the connection between risk information and action. A high-risk indicator can lead a mentor to a student drill-down, where attendance, internal assessment, previous performance, and backlog information are visible together. The student workspace then provides a different perspective by exposing personal records and supplementary examination options. This workflow orientation distinguishes the project from a standalone classifier dashboard.</w:t>
      </w:r>
    </w:p>
    <w:p w14:paraId="54F7AD98" w14:textId="77777777" w:rsidR="00736CEF" w:rsidRDefault="00000000">
      <w:pPr>
        <w:jc w:val="both"/>
      </w:pPr>
      <w:r>
        <w:t>The machine learning component should be interpreted cautiously. Because the current target is generated by the same policy that the models are asked to reproduce, high agreement with the policy would not demonstrate predictive value in the real world. This distinction is important for academic reporting because accuracy obtained from policy-derived labels can otherwise be mistaken for evidence of future academic prediction.</w:t>
      </w:r>
    </w:p>
    <w:p w14:paraId="3CCB8359" w14:textId="77777777" w:rsidR="00736CEF" w:rsidRDefault="00000000">
      <w:pPr>
        <w:jc w:val="both"/>
      </w:pPr>
      <w:r>
        <w:t>The literature also suggests that performance should not be reduced to a single metric. Shahiri et al. [3] document the range of attributes and techniques used in student prediction, while Lakkaraju et al. [5] emphasize evaluation from an educator's perspective. For EduInsight, recall for at-risk students may be particularly important because a missed student can represent a more consequential error than an additional student sent for human review.</w:t>
      </w:r>
    </w:p>
    <w:p w14:paraId="667AD315" w14:textId="0B60B2AE" w:rsidR="00736CEF" w:rsidRDefault="00736CEF">
      <w:pPr>
        <w:spacing w:before="40" w:after="80"/>
        <w:jc w:val="center"/>
      </w:pPr>
    </w:p>
    <w:p w14:paraId="78DDD4D1" w14:textId="77777777" w:rsidR="00736CEF" w:rsidRDefault="00736CEF">
      <w:pPr>
        <w:spacing w:after="20"/>
      </w:pPr>
    </w:p>
    <w:p w14:paraId="713A4591" w14:textId="77777777" w:rsidR="00736CEF" w:rsidRDefault="00000000">
      <w:pPr>
        <w:keepNext/>
        <w:spacing w:before="100" w:after="40"/>
      </w:pPr>
      <w:r>
        <w:rPr>
          <w:b/>
        </w:rPr>
        <w:t>IX. RESEARCH GAP AND POSITIONING</w:t>
      </w:r>
    </w:p>
    <w:p w14:paraId="638BBE64" w14:textId="77777777" w:rsidR="00736CEF" w:rsidRDefault="00000000">
      <w:pPr>
        <w:jc w:val="both"/>
      </w:pPr>
      <w:r>
        <w:t>The reviewed literature establishes substantial work in educational data mining, student performance prediction, early-warning systems, and explainable machine learning [1]–[8]. The gap addressed by EduInsight is not the absence of research in these individual areas. Instead, the project explores their integration with academic administration, subject-level backlog workflows, and student recovery self-service in a single role-aware portal.</w:t>
      </w:r>
    </w:p>
    <w:p w14:paraId="0313DFC5" w14:textId="77777777" w:rsidR="00736CEF" w:rsidRDefault="00000000">
      <w:pPr>
        <w:jc w:val="both"/>
      </w:pPr>
      <w:r>
        <w:t>This positioning avoids the stronger and difficult-to-defend claim that no existing ERP or educational platform combines analytics with academic administration. The contribution is better described as an applied system-design study that makes the relationship between data quality, transparent risk assessment, machine learning experimentation, and institutional workflow explicit.</w:t>
      </w:r>
    </w:p>
    <w:p w14:paraId="2C7C2916" w14:textId="77777777" w:rsidR="00736CEF" w:rsidRDefault="00000000">
      <w:pPr>
        <w:keepNext/>
        <w:spacing w:before="100" w:after="40"/>
      </w:pPr>
      <w:r>
        <w:rPr>
          <w:b/>
        </w:rPr>
        <w:t>X. RECOMMENDED EVALUATION PROTOCOL</w:t>
      </w:r>
    </w:p>
    <w:p w14:paraId="32410464" w14:textId="77777777" w:rsidR="00736CEF" w:rsidRDefault="00000000">
      <w:pPr>
        <w:jc w:val="both"/>
      </w:pPr>
      <w:r>
        <w:t>A future empirical evaluation should begin with an independently observed outcome. Candidate targets include at least one failed course in the following semester, new academic probation, continued enrollment in the following academic year, or backlog clearance within a defined examination cycle. One target should be selected and operationalized clearly rather than combining unrelated outcomes.</w:t>
      </w:r>
    </w:p>
    <w:p w14:paraId="0352412E" w14:textId="77777777" w:rsidR="00736CEF" w:rsidRDefault="00000000">
      <w:pPr>
        <w:jc w:val="both"/>
      </w:pPr>
      <w:r>
        <w:t xml:space="preserve">The prediction cutoff should be defined before model training. For example, the system may predict next-semester academic difficulty using only information available at the end of the current semester. Earlier cohorts can then be used for training and a later cohort for testing. If multiple records per student are used, all records from a </w:t>
      </w:r>
      <w:r>
        <w:lastRenderedPageBreak/>
        <w:t>student should remain in the same partition to prevent information leakage.</w:t>
      </w:r>
    </w:p>
    <w:p w14:paraId="059B34D1" w14:textId="77777777" w:rsidR="00736CEF" w:rsidRDefault="00000000">
      <w:pPr>
        <w:jc w:val="both"/>
      </w:pPr>
      <w:r>
        <w:t>An informative ablation study would compare prior academic performance alone; prior performance plus attendance; the previous set plus internal assessments; and the complete feature set including backlog information. This would directly test whether backlog attributes add predictive utility beyond conventional academic indicators.</w:t>
      </w:r>
    </w:p>
    <w:p w14:paraId="2E45E4C2" w14:textId="77777777" w:rsidR="00736CEF" w:rsidRDefault="00000000">
      <w:pPr>
        <w:jc w:val="both"/>
      </w:pPr>
      <w:r>
        <w:t>Application evaluation should be conducted separately from model evaluation. Relevant measures include import correctness, data-validation accuracy, role restriction correctness, report correctness, completion time for faculty tasks, usability, accessibility, and the reliability of audit records. A classifier with strong metrics does not automatically constitute a secure or usable academic ERP.</w:t>
      </w:r>
    </w:p>
    <w:p w14:paraId="4A65C51A" w14:textId="77777777" w:rsidR="00736CEF" w:rsidRDefault="00000000">
      <w:pPr>
        <w:keepNext/>
        <w:spacing w:before="100" w:after="40"/>
      </w:pPr>
      <w:r>
        <w:rPr>
          <w:b/>
        </w:rPr>
        <w:t>XI. LIMITATIONS</w:t>
      </w:r>
    </w:p>
    <w:p w14:paraId="3D4750D9" w14:textId="77777777" w:rsidR="00736CEF" w:rsidRDefault="00000000">
      <w:pPr>
        <w:pStyle w:val="ListBullet"/>
        <w:spacing w:after="30"/>
        <w:ind w:left="230" w:hanging="144"/>
      </w:pPr>
      <w:r>
        <w:rPr>
          <w:sz w:val="19"/>
        </w:rPr>
        <w:t>The reference dataset contains synthetic students and is not representative of a real institution.</w:t>
      </w:r>
    </w:p>
    <w:p w14:paraId="73F56142" w14:textId="77777777" w:rsidR="00736CEF" w:rsidRDefault="00000000">
      <w:pPr>
        <w:pStyle w:val="ListBullet"/>
        <w:spacing w:after="30"/>
        <w:ind w:left="230" w:hanging="144"/>
      </w:pPr>
      <w:r>
        <w:rPr>
          <w:sz w:val="19"/>
        </w:rPr>
        <w:t>The current risk weights are project-defined rules and have not been validated against observed academic outcomes.</w:t>
      </w:r>
    </w:p>
    <w:p w14:paraId="27A1054F" w14:textId="77777777" w:rsidR="00736CEF" w:rsidRDefault="00000000">
      <w:pPr>
        <w:pStyle w:val="ListBullet"/>
        <w:spacing w:after="30"/>
        <w:ind w:left="230" w:hanging="144"/>
      </w:pPr>
      <w:r>
        <w:rPr>
          <w:sz w:val="19"/>
        </w:rPr>
        <w:t>Machine learning labels are derived from the policy score, so the benchmark does not establish future-outcome prediction.</w:t>
      </w:r>
    </w:p>
    <w:p w14:paraId="67556391" w14:textId="77777777" w:rsidR="00736CEF" w:rsidRDefault="00000000">
      <w:pPr>
        <w:pStyle w:val="ListBullet"/>
        <w:spacing w:after="30"/>
        <w:ind w:left="230" w:hanging="144"/>
      </w:pPr>
      <w:r>
        <w:rPr>
          <w:sz w:val="19"/>
        </w:rPr>
        <w:t>The small demonstration dataset can produce unstable holdout metrics and cannot support broad generalization.</w:t>
      </w:r>
    </w:p>
    <w:p w14:paraId="51D99089" w14:textId="77777777" w:rsidR="00736CEF" w:rsidRDefault="00000000">
      <w:pPr>
        <w:pStyle w:val="ListBullet"/>
        <w:spacing w:after="30"/>
        <w:ind w:left="230" w:hanging="144"/>
      </w:pPr>
      <w:r>
        <w:rPr>
          <w:sz w:val="19"/>
        </w:rPr>
        <w:t>Frontend role restrictions are not a substitute for server-side authorization or database-level isolation.</w:t>
      </w:r>
    </w:p>
    <w:p w14:paraId="228AAFF6" w14:textId="77777777" w:rsidR="00736CEF" w:rsidRDefault="00000000">
      <w:pPr>
        <w:pStyle w:val="ListBullet"/>
        <w:spacing w:after="30"/>
        <w:ind w:left="230" w:hanging="144"/>
      </w:pPr>
      <w:r>
        <w:rPr>
          <w:sz w:val="19"/>
        </w:rPr>
        <w:t>Browser-based persistence is appropriate for a prototype but not for production handling of sensitive academic records.</w:t>
      </w:r>
    </w:p>
    <w:p w14:paraId="3D8D4230" w14:textId="77777777" w:rsidR="00736CEF" w:rsidRDefault="00000000">
      <w:pPr>
        <w:pStyle w:val="ListBullet"/>
        <w:spacing w:after="30"/>
        <w:ind w:left="230" w:hanging="144"/>
      </w:pPr>
      <w:r>
        <w:rPr>
          <w:sz w:val="19"/>
        </w:rPr>
        <w:t>Backlog-clearance simulations demonstrate scenario analysis and do not establish graduation eligibility or causal intervention effects.</w:t>
      </w:r>
    </w:p>
    <w:p w14:paraId="6F3112C3" w14:textId="77777777" w:rsidR="00736CEF" w:rsidRDefault="00000000">
      <w:pPr>
        <w:keepNext/>
        <w:spacing w:before="100" w:after="40"/>
      </w:pPr>
      <w:r>
        <w:rPr>
          <w:b/>
        </w:rPr>
        <w:t>XII. FUTURE WORK</w:t>
      </w:r>
    </w:p>
    <w:p w14:paraId="48A9AF30" w14:textId="77777777" w:rsidR="00736CEF" w:rsidRDefault="00000000">
      <w:pPr>
        <w:jc w:val="both"/>
      </w:pPr>
      <w:r>
        <w:t>The next development stage should introduce a secure backend with authenticated identity management, database authorization, encrypted transport, controlled audit storage, and institution-specific integrations. The analytics pipeline should then be connected to independently observed outcomes and evaluated with temporal splits across cohorts.</w:t>
      </w:r>
    </w:p>
    <w:p w14:paraId="30B29117" w14:textId="77777777" w:rsidR="00736CEF" w:rsidRDefault="00000000">
      <w:pPr>
        <w:jc w:val="both"/>
      </w:pPr>
      <w:r>
        <w:t>On the analytical side, future work can examine calibrated probabilities, precision-recall analysis for imbalanced outcomes, uncertainty estimates, and explanation methods such as SHAP or LIME for learned models. A faculty-centered study should assess whether explanations actually improve review quality and reduce the time required to identify students needing support.</w:t>
      </w:r>
    </w:p>
    <w:p w14:paraId="4D74F23A" w14:textId="77777777" w:rsidR="00736CEF" w:rsidRDefault="00000000">
      <w:pPr>
        <w:jc w:val="both"/>
      </w:pPr>
      <w:r>
        <w:t>Finally, intervention effectiveness should be studied separately from prediction. A risk model identifies candidates for review; it does not prove that an intervention works. Measuring changes in academic outcomes after well-defined support actions would provide a stronger basis for evaluating the complete EduInsight workflow.</w:t>
      </w:r>
    </w:p>
    <w:p w14:paraId="1A7D70DE" w14:textId="77777777" w:rsidR="00736CEF" w:rsidRDefault="00000000">
      <w:pPr>
        <w:keepNext/>
        <w:spacing w:before="100" w:after="40"/>
      </w:pPr>
      <w:r>
        <w:rPr>
          <w:b/>
        </w:rPr>
        <w:t>XIII. CONCLUSION</w:t>
      </w:r>
    </w:p>
    <w:p w14:paraId="595FA74C" w14:textId="77777777" w:rsidR="00736CEF" w:rsidRDefault="00000000">
      <w:pPr>
        <w:jc w:val="both"/>
      </w:pPr>
      <w:r>
        <w:t xml:space="preserve">EduInsight demonstrates an integrated approach to academic administration and student risk analytics. Its design combines structured student records, data-quality assessment, exploratory analysis, interpretable policy scoring, machine learning benchmarking, subject-level backlog management, student self-service, reporting, and audit-oriented workflows. The central contribution is the </w:t>
      </w:r>
      <w:r>
        <w:t>integration of these functions rather than a new classification algorithm.</w:t>
      </w:r>
    </w:p>
    <w:p w14:paraId="45A206B8" w14:textId="77777777" w:rsidR="00736CEF" w:rsidRDefault="00000000">
      <w:pPr>
        <w:jc w:val="both"/>
      </w:pPr>
      <w:r>
        <w:t>The project is deliberately positioned as a reference implementation and system-design study. Its synthetic data and policy-derived labels are suitable for demonstrating functionality but cannot establish real-world predictive accuracy or intervention effectiveness. A research-grade deployment would require independently observed outcomes, leakage-controlled temporal validation, secure backend infrastructure, and evaluation with academic stakeholders. With these extensions, EduInsight provides a practical foundation for studying how educational analytics can be connected to transparent and actionable institutional workflows.</w:t>
      </w:r>
    </w:p>
    <w:p w14:paraId="73E8A133" w14:textId="77777777" w:rsidR="00736CEF" w:rsidRDefault="00000000">
      <w:pPr>
        <w:keepNext/>
        <w:spacing w:before="100" w:after="40"/>
      </w:pPr>
      <w:r>
        <w:rPr>
          <w:b/>
        </w:rPr>
        <w:t>ACKNOWLEDGMENT</w:t>
      </w:r>
    </w:p>
    <w:p w14:paraId="3E7D11FF" w14:textId="77777777" w:rsidR="00736CEF" w:rsidRDefault="00000000">
      <w:pPr>
        <w:jc w:val="both"/>
      </w:pPr>
      <w:r>
        <w:t>The authors acknowledge the educational data mining research community and the open research resources that informed the design of the EduInsight analytics workflow. The implementation and wording of this paper are original to this project, while prior research is cited where its methods or findings are used.</w:t>
      </w:r>
    </w:p>
    <w:p w14:paraId="5F282FD6" w14:textId="77777777" w:rsidR="00736CEF" w:rsidRDefault="00000000">
      <w:pPr>
        <w:keepNext/>
        <w:spacing w:before="100" w:after="40"/>
      </w:pPr>
      <w:r>
        <w:rPr>
          <w:b/>
        </w:rPr>
        <w:t>REFERENCES</w:t>
      </w:r>
    </w:p>
    <w:p w14:paraId="23C01A88" w14:textId="77777777" w:rsidR="00736CEF" w:rsidRDefault="00000000">
      <w:pPr>
        <w:spacing w:after="40"/>
      </w:pPr>
      <w:r>
        <w:rPr>
          <w:sz w:val="17"/>
        </w:rPr>
        <w:t>[1] P. Cortez and A. M. G. Silva, “Using data mining to predict secondary school student performance,” in Proc. 5th Annu. Future Business Technology Conf. (FUBUTEC), 2008, pp. 5–12.</w:t>
      </w:r>
    </w:p>
    <w:p w14:paraId="1BC69B91" w14:textId="77777777" w:rsidR="00736CEF" w:rsidRDefault="00000000">
      <w:pPr>
        <w:spacing w:after="40"/>
      </w:pPr>
      <w:r>
        <w:rPr>
          <w:sz w:val="17"/>
        </w:rPr>
        <w:t>[2] C. Romero and S. Ventura, “Educational data mining: A review of the state of the art,” IEEE Trans. Syst., Man, Cybern. C, vol. 40, no. 6, pp. 601–618, 2010, doi: 10.1109/TSMCC.2010.2053532.</w:t>
      </w:r>
    </w:p>
    <w:p w14:paraId="2D4ABA15" w14:textId="77777777" w:rsidR="00736CEF" w:rsidRDefault="00000000">
      <w:pPr>
        <w:spacing w:after="40"/>
      </w:pPr>
      <w:r>
        <w:rPr>
          <w:sz w:val="17"/>
        </w:rPr>
        <w:t>[3] A. M. Shahiri, W. Husain, and N. A. Rashid, “A review on predicting student’s performance using data mining techniques,” Procedia Comput. Sci., vol. 72, pp. 414–422, 2015, doi: 10.1016/j.procs.2015.12.157.</w:t>
      </w:r>
    </w:p>
    <w:p w14:paraId="26D17825" w14:textId="77777777" w:rsidR="00736CEF" w:rsidRDefault="00000000">
      <w:pPr>
        <w:spacing w:after="40"/>
      </w:pPr>
      <w:r>
        <w:rPr>
          <w:sz w:val="17"/>
        </w:rPr>
        <w:t>[4] R. Asif, A. Merceron, S. A. Ali, and N. G. Haider, “Analyzing undergraduate students’ performance using educational data mining,” Comput. Educ., vol. 113, pp. 177–194, 2017, doi: 10.1016/j.compedu.2017.05.007.</w:t>
      </w:r>
    </w:p>
    <w:p w14:paraId="4CFAE5FA" w14:textId="77777777" w:rsidR="00736CEF" w:rsidRDefault="00000000">
      <w:pPr>
        <w:spacing w:after="40"/>
      </w:pPr>
      <w:r>
        <w:rPr>
          <w:sz w:val="17"/>
        </w:rPr>
        <w:t>[5] H. Lakkaraju, E. Aguiar, C. Shan, D. Miller, N. Bhanpuri, R. Ghani, and K. L. Addison, “A machine learning framework to identify students at risk of adverse academic outcomes,” in Proc. 21st ACM SIGKDD Int. Conf. Knowledge Discovery and Data Mining, 2015, pp. 1909–1918, doi: 10.1145/2783258.2788620.</w:t>
      </w:r>
    </w:p>
    <w:p w14:paraId="50558D0C" w14:textId="77777777" w:rsidR="00736CEF" w:rsidRDefault="00000000">
      <w:pPr>
        <w:spacing w:after="40"/>
      </w:pPr>
      <w:r>
        <w:rPr>
          <w:sz w:val="17"/>
        </w:rPr>
        <w:t>[6] C. Romero and S. Ventura, “Educational data mining and learning analytics: An updated survey,” WIREs Data Mining Knowl. Discovery, vol. 10, no. 3, e1355, 2020, doi: 10.1002/widm.1355.</w:t>
      </w:r>
    </w:p>
    <w:p w14:paraId="7D10EE68" w14:textId="77777777" w:rsidR="00736CEF" w:rsidRDefault="00000000">
      <w:pPr>
        <w:spacing w:after="40"/>
      </w:pPr>
      <w:r>
        <w:rPr>
          <w:sz w:val="17"/>
        </w:rPr>
        <w:t>[7] M. T. Ribeiro, S. Singh, and C. Guestrin, “Why should I trust you? Explaining the predictions of any classifier,” in Proc. 22nd ACM SIGKDD Int. Conf. Knowledge Discovery and Data Mining, 2016, pp. 1135–1144, doi: 10.1145/2939672.2939778.</w:t>
      </w:r>
    </w:p>
    <w:p w14:paraId="0D96FEF3" w14:textId="77777777" w:rsidR="00736CEF" w:rsidRDefault="00000000">
      <w:pPr>
        <w:spacing w:after="40"/>
      </w:pPr>
      <w:r>
        <w:rPr>
          <w:sz w:val="17"/>
        </w:rPr>
        <w:t>[8] S. M. Lundberg and S.-I. Lee, “A unified approach to interpreting model predictions,” in Adv. Neural Information Processing Systems, vol. 30, 2017, pp. 4765–4774.</w:t>
      </w:r>
    </w:p>
    <w:sectPr w:rsidR="00736CEF" w:rsidSect="00034616">
      <w:type w:val="continuous"/>
      <w:pgSz w:w="11906" w:h="16838"/>
      <w:pgMar w:top="1077" w:right="964" w:bottom="1020" w:left="964" w:header="454" w:footer="454"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D076B" w14:textId="77777777" w:rsidR="00856D10" w:rsidRDefault="00856D10">
      <w:pPr>
        <w:spacing w:after="0"/>
      </w:pPr>
      <w:r>
        <w:separator/>
      </w:r>
    </w:p>
  </w:endnote>
  <w:endnote w:type="continuationSeparator" w:id="0">
    <w:p w14:paraId="49802B0B" w14:textId="77777777" w:rsidR="00856D10" w:rsidRDefault="00856D1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96FCA" w14:textId="77777777" w:rsidR="00736CEF" w:rsidRDefault="00000000">
    <w:pPr>
      <w:pStyle w:val="Footer"/>
      <w:jc w:val="center"/>
    </w:pPr>
    <w:r>
      <w:rPr>
        <w:sz w:val="16"/>
      </w:rPr>
      <w:fldChar w:fldCharType="begin"/>
    </w:r>
    <w:r>
      <w:rPr>
        <w:sz w:val="16"/>
      </w:rPr>
      <w:instrText>PAGE</w:instrText>
    </w:r>
    <w:r>
      <w:rPr>
        <w:sz w:val="16"/>
      </w:rPr>
      <w:fldChar w:fldCharType="separate"/>
    </w:r>
    <w:r w:rsidR="007A20FB">
      <w:rPr>
        <w:noProof/>
        <w:sz w:val="16"/>
      </w:rPr>
      <w:t>1</w:t>
    </w:r>
    <w:r>
      <w:rPr>
        <w:sz w:val="16"/>
      </w:rPr>
      <w:fldChar w:fldCharType="end"/>
    </w:r>
    <w:r>
      <w:rPr>
        <w:sz w:val="16"/>
      </w:rPr>
      <w:fldChar w:fldCharType="begin"/>
    </w:r>
    <w:r>
      <w:rPr>
        <w:sz w:val="16"/>
      </w:rPr>
      <w:instrText>PAGE</w:instrText>
    </w:r>
    <w:r>
      <w:rPr>
        <w:sz w:val="16"/>
      </w:rPr>
      <w:fldChar w:fldCharType="separate"/>
    </w:r>
    <w:r w:rsidR="007A20FB">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E547A" w14:textId="77777777" w:rsidR="00856D10" w:rsidRDefault="00856D10">
      <w:pPr>
        <w:spacing w:after="0"/>
      </w:pPr>
      <w:r>
        <w:separator/>
      </w:r>
    </w:p>
  </w:footnote>
  <w:footnote w:type="continuationSeparator" w:id="0">
    <w:p w14:paraId="74239898" w14:textId="77777777" w:rsidR="00856D10" w:rsidRDefault="00856D1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AD0E4BC"/>
    <w:lvl w:ilvl="0">
      <w:start w:val="1"/>
      <w:numFmt w:val="bullet"/>
      <w:pStyle w:val="ListBullet"/>
      <w:lvlText w:val=""/>
      <w:lvlJc w:val="left"/>
      <w:pPr>
        <w:tabs>
          <w:tab w:val="num" w:pos="360"/>
        </w:tabs>
        <w:ind w:left="360" w:hanging="360"/>
      </w:pPr>
      <w:rPr>
        <w:rFonts w:ascii="Symbol" w:hAnsi="Symbol" w:hint="default"/>
      </w:rPr>
    </w:lvl>
  </w:abstractNum>
  <w:num w:numId="1" w16cid:durableId="1085805848">
    <w:abstractNumId w:val="8"/>
  </w:num>
  <w:num w:numId="2" w16cid:durableId="1641878668">
    <w:abstractNumId w:val="6"/>
  </w:num>
  <w:num w:numId="3" w16cid:durableId="485627727">
    <w:abstractNumId w:val="5"/>
  </w:num>
  <w:num w:numId="4" w16cid:durableId="983194019">
    <w:abstractNumId w:val="4"/>
  </w:num>
  <w:num w:numId="5" w16cid:durableId="2036419035">
    <w:abstractNumId w:val="7"/>
  </w:num>
  <w:num w:numId="6" w16cid:durableId="1173759694">
    <w:abstractNumId w:val="3"/>
  </w:num>
  <w:num w:numId="7" w16cid:durableId="974869155">
    <w:abstractNumId w:val="2"/>
  </w:num>
  <w:num w:numId="8" w16cid:durableId="1475834719">
    <w:abstractNumId w:val="1"/>
  </w:num>
  <w:num w:numId="9" w16cid:durableId="1214198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716"/>
    <w:rsid w:val="0029639D"/>
    <w:rsid w:val="00326F90"/>
    <w:rsid w:val="003D2662"/>
    <w:rsid w:val="00736CEF"/>
    <w:rsid w:val="00760E08"/>
    <w:rsid w:val="007A20FB"/>
    <w:rsid w:val="00856D10"/>
    <w:rsid w:val="00AA1D8D"/>
    <w:rsid w:val="00B47730"/>
    <w:rsid w:val="00CB0664"/>
    <w:rsid w:val="00DA5206"/>
    <w:rsid w:val="00FC693F"/>
    <w:rsid w:val="00FD72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4A0409"/>
  <w14:defaultImageDpi w14:val="300"/>
  <w15:docId w15:val="{08AFE94C-23C2-487B-9E30-553DD0DF7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3487</Words>
  <Characters>19881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AVINASH YARUKALA 2420030568</cp:lastModifiedBy>
  <cp:revision>3</cp:revision>
  <dcterms:created xsi:type="dcterms:W3CDTF">2013-12-23T23:15:00Z</dcterms:created>
  <dcterms:modified xsi:type="dcterms:W3CDTF">2026-09-11T03:06:00Z</dcterms:modified>
  <cp:category/>
</cp:coreProperties>
</file>