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Весовые коэффициенты значимости терминов</w:t>
      </w:r>
    </w:p>
    <w:p>
      <w:r>
        <w:t>Чтобы часто встречающиеся слова не заглушали значимые, вводят инверсную частоту термина: она равна логарифму отношения общего числа документов к числу документов, содержащих термин. Вес термина в документе получают умножением частоты термина в этом документе на его инверсную частоту. Слово, встречающееся почти в каждом документе коллекции, получает вес, близкий к нулю, и практически не влияет на ранжирование.</w:t>
      </w:r>
    </w:p>
    <w:p>
      <w:r>
        <w:t>Редкое слово, наоборот, сильно поднимает документ в выдаче. Нормировка вектора документа по евклидовой норме уравнивает шансы длинных и коротких документов.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