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Общий доступ к файлам и сетевые папки</w:t>
      </w:r>
    </w:p>
    <w:p>
      <w:r>
        <w:t>Файловый обмен внутри локальной сети чаще всего организуют через общие сетевые папки по протоколу SMB. Ресурс публикуется под сетевым именем вида \\server\share, после чего пользователи подключают его как сетевой диск. Права доступа задаются на уровне общего ресурса и на уровне файловой системы, причём действует наиболее строгое из двух ограничений.</w:t>
      </w:r>
    </w:p>
    <w:p>
      <w:r>
        <w:t>Для совместной работы удобно выделить отдельный файловый сервер с дисковым массивом и регулярным резервным копированием. Индексация содержимого сетевых папок позволяет сотрудникам быстро находить документы, не помня точного пути к файлу.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