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Парольная политика организации</w:t>
      </w:r>
    </w:p>
    <w:p>
      <w:r>
        <w:t>Парольная политика задаёт требования к паролям учётных записей сотрудников предприятия. Надёжный пароль содержит не менее двенадцати символов, включает буквы разного регистра, цифры и знаки препинания и не совпадает со словарным словом. Повторное использование одного пароля в нескольких системах опасно: утечка базы одного сервиса открывает доступ ко всем остальным.</w:t>
      </w:r>
    </w:p>
    <w:p>
      <w:r>
        <w:t>Администратор задаёт срок действия пароля, запрет на повторение прежних значений и блокировку учётной записи после нескольких неудачных попыток входа. Хранить пароли следует в менеджере паролей, а не в текстовом файле на рабочем столе. Служебные пароли администраторов и учётные данные сервисов хранят отдельно, с ограниченным кругом доступа.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