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ER-модель и проектирование схемы данных</w:t>
      </w:r>
    </w:p>
    <w:p>
      <w:r>
        <w:t>Модель «сущность — связь» описывает предметную область в виде сущностей, их атрибутов и связей между ними. Сущности превращаются в таблицы, атрибуты — в столбцы, связи — во внешние ключи или промежуточные таблицы. Кардинальность связи показывает, сколько экземпляров одной сущности может быть соотнесено с экземплярами другой.</w:t>
      </w:r>
    </w:p>
    <w:p>
      <w:r>
        <w:t>Диаграмма помогает согласовать понимание задачи с заказчиком до написания кода, когда изменения ещё дёшевы. Хорошо продуманная схема данных снимает половину будущих вопросов о корректности запросов и отчётов.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