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Принципы объектно-ориентированного программирования</w:t>
      </w:r>
    </w:p>
    <w:p>
      <w:r>
        <w:t>Объектно-ориентированный подход описывает программу как набор взаимодействующих объектов, каждый из которых объединяет данные и действия над ними. Инкапсуляция скрывает внутреннее устройство объекта и открывает наружу только необходимый набор операций. Наследование позволяет построить новый класс на основе существующего, дополнив или изменив его поведение.</w:t>
      </w:r>
    </w:p>
    <w:p>
      <w:r>
        <w:t>Полиморфизм даёт возможность работать с разными классами через общий набор операций, не зная их конкретного типа. Абстракция выделяет существенные свойства предметной области и отбрасывает второстепенные. Злоупотребление глубоким наследованием усложняет программу, поэтому композицию объектов часто предпочитают наследованию.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