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Служба доменных имён во внутренней сети</w:t>
      </w:r>
    </w:p>
    <w:p>
      <w:r>
        <w:t>Служба DNS переводит понятные имена компьютеров в IP-адреса, избавляя пользователя от запоминания цифр. Во внутренней сети предприятия обычно поднимают собственный сервер имён, который обслуживает внутреннюю зону и пересылает остальные запросы вышестоящему серверу. Записи типа A связывают имя с адресом, запись CNAME задаёт псевдоним, а запись PTR используется для обратного преобразования.</w:t>
      </w:r>
    </w:p>
    <w:p>
      <w:r>
        <w:t>Кэширование ответов заметно ускоряет работу сетевых служб и снижает трафик. Ошибка разрешения имён выглядит для пользователя как недоступность сервера, хотя сама сеть исправна, поэтому диагностику начинают с команды nslookup.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