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Транзакции и требования ACID</w:t>
      </w:r>
    </w:p>
    <w:p>
      <w:r>
        <w:t>Транзакция объединяет несколько операций в единое целое: либо выполняются все, либо ни одна. Требования ACID включают атомарность, согласованность, изолированность и долговечность. Атомарность обеспечивается журналом, по которому незавершённая транзакция откатывается после сбоя.</w:t>
      </w:r>
    </w:p>
    <w:p>
      <w:r>
        <w:t>Уровни изоляции определяют, какие эффекты параллельных транзакций видны текущей: от чтения незафиксированных данных до полной сериализуемости. Блокировки строк и таблиц предотвращают конфликты записи, но при неудачном порядке захвата приводят к взаимной блокировке транзакций.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