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Центральный процессор и его характеристики</w:t>
      </w:r>
    </w:p>
    <w:p>
      <w:r>
        <w:t>Центральный процессор выполняет машинные команды программы и управляет работой остальных узлов компьютера. Тактовая частота показывает число рабочих циклов в секунду, но сравнивать по ней процессоры разных поколений некорректно. Многоядерный процессор выполняет несколько потоков команд одновременно, что ускоряет работу программ, умеющих распределять нагрузку.</w:t>
      </w:r>
    </w:p>
    <w:p>
      <w:r>
        <w:t>Кэш-память хранит часто используемые данные рядом с вычислительными ядрами и сокращает обращения к оперативной памяти. Тепловыделение растёт вместе с производительностью, поэтому процессору необходима система охлаждения. Планировщик операционной системы распределяет время процессора между готовыми к выполнению задачами.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