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Gestion des échantillons et dimensionnement mémoire</w:t>
      </w:r>
      <w:r/>
    </w:p>
    <w:p>
      <w:pPr>
        <w:jc w:val="left"/>
      </w:pPr>
      <w:r/>
      <w:r/>
    </w:p>
    <w:p>
      <w:pPr>
        <w:jc w:val="left"/>
        <w:rPr>
          <w:highlight w:val="none"/>
          <w:u w:val="single"/>
        </w:rPr>
      </w:pPr>
      <w:r>
        <w:rPr>
          <w:highlight w:val="none"/>
          <w:u w:val="single"/>
        </w:rPr>
        <w:t xml:space="preserve">Objet du document :</w:t>
      </w:r>
      <w:r>
        <w:rPr>
          <w:highlight w:val="none"/>
          <w:u w:val="single"/>
        </w:rPr>
      </w:r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Le but du document est de justifier de la gestions des échantillons et du dimensionnement mémoire.</w:t>
      </w:r>
      <w:r>
        <w:rPr>
          <w:highlight w:val="none"/>
        </w:rPr>
      </w:r>
    </w:p>
    <w:p>
      <w:pPr>
        <w:jc w:val="left"/>
        <w:rPr>
          <w:highlight w:val="none"/>
          <w:u w:val="single"/>
        </w:rPr>
      </w:pPr>
      <w:r>
        <w:rPr>
          <w:highlight w:val="none"/>
          <w:u w:val="single"/>
        </w:rPr>
        <w:t xml:space="preserve">Méthode d’échantillonnage :</w:t>
      </w:r>
      <w:r/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Afin de générer différentes notes (fréquences) nous avons déterminé plusieurs solutions : </w:t>
      </w:r>
      <w:r/>
    </w:p>
    <w:p>
      <w:pPr>
        <w:ind w:left="0" w:firstLine="0"/>
        <w:jc w:val="left"/>
        <w:rPr>
          <w:highlight w:val="none"/>
          <w:u w:val="none"/>
        </w:rPr>
      </w:pPr>
      <w:r>
        <w:rPr>
          <w:b/>
          <w:highlight w:val="none"/>
          <w:u w:val="none"/>
        </w:rPr>
        <w:t xml:space="preserve">La première solutions </w:t>
      </w:r>
      <w:r>
        <w:rPr>
          <w:highlight w:val="none"/>
          <w:u w:val="none"/>
        </w:rPr>
        <w:t xml:space="preserve">consiste à stocker dans la mémoire toutes les notes de musiques.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Après avoir réaliser des tests, nous nous sommes rendu compte qu’un échantillon de notes de musique au format « .ogg »  pouvait être sauvegarder et réservait une mémoire associé correspondant à 30 Ko ou moins. Pour obtenir cette échantillon nous avons enregistrer une note de musique sur Audacity et l’avons exporter. </w:t>
      </w:r>
      <w:r>
        <w:rPr>
          <w:highlight w:val="none"/>
          <w:u w:val="none"/>
        </w:rPr>
      </w:r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Donc si nous enregistrons toutes les notes de musique dans la mémoire la place requise serait de : 4 x 14 x 30Ko </w:t>
      </w:r>
      <w:r/>
      <w:r>
        <w:rPr>
          <w:highlight w:val="none"/>
          <w:u w:val="none"/>
        </w:rPr>
      </w:r>
      <w:r>
        <w:rPr>
          <w:highlight w:val="yellow"/>
          <w:u w:val="none"/>
        </w:rPr>
        <w:t xml:space="preserve">= 1680 Ko soit 1.7 Mo.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jc w:val="left"/>
        <w:rPr>
          <w:b w:val="0"/>
          <w:highlight w:val="none"/>
          <w:u w:val="none"/>
        </w:rPr>
      </w:pPr>
      <w:r>
        <w:rPr>
          <w:b/>
          <w:highlight w:val="none"/>
          <w:u w:val="none"/>
        </w:rPr>
        <w:t xml:space="preserve">La seconde solutions </w:t>
      </w:r>
      <w:r>
        <w:rPr>
          <w:b w:val="0"/>
          <w:highlight w:val="none"/>
          <w:u w:val="none"/>
        </w:rPr>
        <w:t xml:space="preserve">consiste à enregistrer un échantillon nous-même sur une fréquence intermédiaire à l’octave 3 et 4. Soit à la fréquence de Ré(4) (594Hz). Puis pour générer les autres notes, il suffit d’augmenter ou diminuer la fréquence de l’échantillon.</w:t>
      </w:r>
      <w:r>
        <w:rPr>
          <w:b w:val="0"/>
          <w:highlight w:val="none"/>
          <w:u w:val="none"/>
        </w:rPr>
      </w:r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Pour cela on prend la fréquence d’échantillonnage standard Fe = 44100 Hz.</w:t>
      </w:r>
      <w:r/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On opère le calcule suivant : Fe(Hz) x temps(s) x taille de la données (2 octets) x nombre d’instruments (4) </w:t>
      </w:r>
      <w:r/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A ce moment là on se doit de différencier la méthode pour les instruments à bruit évanescent et les autres instruments. </w:t>
      </w:r>
      <w:r/>
    </w:p>
    <w:p>
      <w:pPr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En effet pour les instrument non évanescent (leur son étant un maintient linéaire) </w:t>
        <w:br/>
        <w:br/>
        <w:br/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2022-02-21T16:51:01Z</dcterms:modified>
</cp:coreProperties>
</file>