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highlight w:val="none"/>
        </w:rPr>
      </w:pPr>
      <w:r>
        <w:t xml:space="preserve">Gestion des échantillons et dimensionnement mémoire</w:t>
      </w:r>
      <w:r/>
    </w:p>
    <w:p>
      <w:pPr>
        <w:jc w:val="left"/>
      </w:pPr>
      <w:r/>
      <w:r/>
    </w:p>
    <w:p>
      <w:pPr>
        <w:jc w:val="both"/>
        <w:rPr>
          <w:highlight w:val="none"/>
          <w:u w:val="single"/>
        </w:rPr>
      </w:pPr>
      <w:r>
        <w:rPr>
          <w:highlight w:val="none"/>
          <w:u w:val="single"/>
        </w:rPr>
        <w:t xml:space="preserve">Objet du document :</w:t>
      </w:r>
      <w:r>
        <w:rPr>
          <w:highlight w:val="none"/>
          <w:u w:val="single"/>
        </w:rPr>
      </w:r>
      <w:r/>
    </w:p>
    <w:p>
      <w:pPr>
        <w:jc w:val="both"/>
        <w:rPr>
          <w:highlight w:val="none"/>
        </w:rPr>
      </w:pPr>
      <w:r>
        <w:rPr>
          <w:highlight w:val="none"/>
          <w:u w:val="none"/>
        </w:rPr>
        <w:t xml:space="preserve">Le but du document est de justifier de la gestions des échantillons et du dimensionnement mémoire.</w:t>
      </w:r>
      <w:r>
        <w:rPr>
          <w:highlight w:val="none"/>
        </w:rPr>
      </w:r>
      <w:r/>
    </w:p>
    <w:p>
      <w:pPr>
        <w:jc w:val="both"/>
        <w:rPr>
          <w:highlight w:val="none"/>
          <w:u w:val="single"/>
        </w:rPr>
      </w:pPr>
      <w:r>
        <w:rPr>
          <w:highlight w:val="none"/>
          <w:u w:val="single"/>
        </w:rPr>
        <w:t xml:space="preserve">Fréquence d’échantillonnage :</w:t>
      </w:r>
      <w:r>
        <w:rPr>
          <w:highlight w:val="none"/>
        </w:rPr>
      </w:r>
      <w:r/>
    </w:p>
    <w:p>
      <w:pPr>
        <w:jc w:val="both"/>
        <w:rPr>
          <w:highlight w:val="none"/>
          <w:u w:val="none"/>
        </w:rPr>
      </w:pPr>
      <w:r>
        <w:rPr>
          <w:highlight w:val="none"/>
          <w:u w:val="none"/>
        </w:rPr>
        <w:t xml:space="preserve">La norme veut qu’on échantillonne un signal audio à 44100 Hz. </w:t>
      </w:r>
      <w:r>
        <w:rPr>
          <w:highlight w:val="none"/>
          <w:u w:val="none"/>
        </w:rPr>
        <w:t xml:space="preserve">Il est possible de diminuer cette fréquence d’échanti</w:t>
      </w:r>
      <w:r>
        <w:rPr>
          <w:highlight w:val="none"/>
          <w:u w:val="none"/>
        </w:rPr>
        <w:t xml:space="preserve">llonnage tout en gardant une bonne qualité du son car la fréquence maximum du son ne dépasse pas 99</w:t>
      </w:r>
      <w:r>
        <w:rPr>
          <w:highlight w:val="none"/>
          <w:u w:val="none"/>
        </w:rPr>
        <w:t xml:space="preserve">0 Hz. Si on prend Fmax = 1000Hz, on applique le critère de Shannon donc fréquence d’échantillonnage brut = 2000Hz, puis on majore avec le même facteur que pour la norme, soit un facteur de 2,205, on obtient alors une fréquence d’échantillonnage de 4410 Hz.</w:t>
      </w:r>
      <w:r>
        <w:rPr>
          <w:highlight w:val="none"/>
          <w:u w:val="none"/>
        </w:rPr>
        <w:t xml:space="preserve"> Ce procédé permet de diviser par 10 la capacité mémoire nécessaire pour stocker un morceaux de musique.</w:t>
      </w:r>
      <w:r>
        <w:rPr>
          <w:highlight w:val="none"/>
          <w:u w:val="none"/>
        </w:rPr>
      </w:r>
      <w:r/>
    </w:p>
    <w:tbl>
      <w:tblPr>
        <w:tblStyle w:val="668"/>
        <w:tblW w:w="0" w:type="auto"/>
        <w:tblLook w:val="04A0" w:firstRow="1" w:lastRow="0" w:firstColumn="1" w:lastColumn="0" w:noHBand="0" w:noVBand="1"/>
      </w:tblPr>
      <w:tblGrid>
        <w:gridCol w:w="2902"/>
        <w:gridCol w:w="3251"/>
        <w:gridCol w:w="3202"/>
      </w:tblGrid>
      <w:tr>
        <w:trPr/>
        <w:tc>
          <w:tcPr>
            <w:tcW w:w="2902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  <w:u w:val="none"/>
              </w:rPr>
            </w:r>
            <w:r>
              <w:rPr>
                <w:highlight w:val="none"/>
                <w:u w:val="none"/>
              </w:rPr>
            </w:r>
            <w:r/>
          </w:p>
        </w:tc>
        <w:tc>
          <w:tcPr>
            <w:tcW w:w="3251" w:type="dxa"/>
            <w:vMerge w:val="restart"/>
            <w:textDirection w:val="lrTb"/>
            <w:noWrap w:val="false"/>
          </w:tcPr>
          <w:p>
            <w:pPr>
              <w:jc w:val="both"/>
              <w:rPr>
                <w:highlight w:val="none"/>
              </w:rPr>
            </w:pPr>
            <w:r>
              <w:rPr>
                <w:highlight w:val="none"/>
                <w:u w:val="none"/>
              </w:rPr>
              <w:t xml:space="preserve">Fe = 44 100Hz</w:t>
            </w:r>
            <w:r>
              <w:rPr>
                <w:highlight w:val="none"/>
                <w:u w:val="none"/>
              </w:rPr>
            </w:r>
            <w:r/>
          </w:p>
        </w:tc>
        <w:tc>
          <w:tcPr>
            <w:tcW w:w="3202" w:type="dxa"/>
            <w:vMerge w:val="restart"/>
            <w:textDirection w:val="lrTb"/>
            <w:noWrap w:val="false"/>
          </w:tcPr>
          <w:p>
            <w:pPr>
              <w:jc w:val="both"/>
              <w:rPr>
                <w:highlight w:val="none"/>
              </w:rPr>
            </w:pPr>
            <w:r>
              <w:rPr>
                <w:highlight w:val="none"/>
                <w:u w:val="none"/>
              </w:rPr>
              <w:t xml:space="preserve">Fe = 4 410Hz</w:t>
            </w:r>
            <w:r>
              <w:rPr>
                <w:highlight w:val="none"/>
                <w:u w:val="none"/>
              </w:rPr>
            </w:r>
            <w:r/>
          </w:p>
        </w:tc>
      </w:tr>
      <w:tr>
        <w:trPr/>
        <w:tc>
          <w:tcPr>
            <w:tcW w:w="2902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  <w:u w:val="none"/>
              </w:rPr>
              <w:t xml:space="preserve">Stockage d’un échantillon pour 0,5 seconde</w:t>
            </w:r>
            <w:r>
              <w:rPr>
                <w:highlight w:val="none"/>
                <w:u w:val="none"/>
              </w:rPr>
            </w:r>
            <w:r/>
          </w:p>
        </w:tc>
        <w:tc>
          <w:tcPr>
            <w:tcW w:w="3251" w:type="dxa"/>
            <w:vMerge w:val="restart"/>
            <w:textDirection w:val="lrTb"/>
            <w:noWrap w:val="false"/>
          </w:tcPr>
          <w:p>
            <w:pPr>
              <w:jc w:val="both"/>
              <w:rPr>
                <w:highlight w:val="none"/>
              </w:rPr>
            </w:pPr>
            <w:r>
              <w:rPr>
                <w:highlight w:val="none"/>
                <w:u w:val="none"/>
              </w:rPr>
              <w:t xml:space="preserve">352 800 bits</w:t>
            </w:r>
            <w:r>
              <w:rPr>
                <w:highlight w:val="none"/>
                <w:u w:val="none"/>
              </w:rPr>
            </w:r>
            <w:r/>
          </w:p>
        </w:tc>
        <w:tc>
          <w:tcPr>
            <w:tcW w:w="3202" w:type="dxa"/>
            <w:vMerge w:val="restart"/>
            <w:textDirection w:val="lrTb"/>
            <w:noWrap w:val="false"/>
          </w:tcPr>
          <w:p>
            <w:pPr>
              <w:jc w:val="both"/>
              <w:rPr>
                <w:highlight w:val="none"/>
              </w:rPr>
            </w:pPr>
            <w:r>
              <w:rPr>
                <w:highlight w:val="none"/>
                <w:u w:val="none"/>
              </w:rPr>
              <w:t xml:space="preserve">35 280 bits</w:t>
            </w:r>
            <w:r>
              <w:rPr>
                <w:highlight w:val="none"/>
                <w:u w:val="none"/>
              </w:rPr>
            </w:r>
            <w:r/>
          </w:p>
        </w:tc>
      </w:tr>
    </w:tbl>
    <w:p>
      <w:pPr>
        <w:rPr>
          <w:highlight w:val="none"/>
          <w:u w:val="none"/>
        </w:rPr>
      </w:pPr>
      <w:r>
        <w:rPr>
          <w:highlight w:val="none"/>
          <w:u w:val="none"/>
        </w:rPr>
      </w:r>
      <w:r>
        <w:rPr>
          <w:highlight w:val="none"/>
          <w:u w:val="none"/>
        </w:rPr>
      </w:r>
    </w:p>
    <w:p>
      <w:pPr>
        <w:rPr>
          <w:color w:val="FF0000"/>
          <w:highlight w:val="none"/>
          <w:u w:val="none"/>
        </w:rPr>
      </w:pPr>
      <w:r>
        <w:rPr>
          <w:highlight w:val="none"/>
          <w:u w:val="none"/>
        </w:rPr>
      </w:r>
      <w:r>
        <w:rPr>
          <w:color w:val="FF0000"/>
          <w:highlight w:val="none"/>
          <w:u w:val="none"/>
        </w:rPr>
        <w:t xml:space="preserve">Pour Fe on ne peut pas aller en dessous de 22050 Hz car il y a des fréquences haute (jusqu’à 11KHz) caractéristique de l’instrument joué. On peut cependant descendre la fréquence d’échantillonnage à 22 050Hz. </w:t>
      </w:r>
      <w:r/>
    </w:p>
    <w:p>
      <w:pPr>
        <w:rPr>
          <w:color w:val="auto"/>
          <w:highlight w:val="none"/>
          <w:u w:val="single"/>
        </w:rPr>
      </w:pPr>
      <w:r>
        <w:rPr>
          <w:color w:val="auto"/>
          <w:highlight w:val="none"/>
          <w:u w:val="single"/>
        </w:rPr>
        <w:t xml:space="preserve">Taille d’un échantillon</w:t>
      </w:r>
      <w:r>
        <w:rPr>
          <w:color w:val="auto"/>
          <w:highlight w:val="none"/>
          <w:u w:val="none"/>
        </w:rPr>
      </w:r>
    </w:p>
    <w:p>
      <w:pPr>
        <w:rPr>
          <w:color w:val="auto"/>
          <w:highlight w:val="none"/>
          <w:u w:val="none"/>
        </w:rPr>
      </w:pPr>
      <w:r>
        <w:rPr>
          <w:color w:val="auto"/>
          <w:highlight w:val="none"/>
          <w:u w:val="none"/>
        </w:rPr>
        <w:t xml:space="preserve">On peut faire varier la taille d’un échantillon en jouant sur la durée de l’échantillon.</w:t>
      </w:r>
      <w:r/>
    </w:p>
    <w:p>
      <w:pPr>
        <w:rPr>
          <w:color w:val="auto"/>
          <w:highlight w:val="none"/>
          <w:u w:val="none"/>
        </w:rPr>
      </w:pPr>
      <w:r>
        <w:rPr>
          <w:color w:val="auto"/>
          <w:highlight w:val="none"/>
          <w:u w:val="none"/>
        </w:rPr>
        <w:t xml:space="preserve">En fonction du type de son, on peut utiliser des méthodes différentes.</w:t>
      </w:r>
      <w:r/>
    </w:p>
    <w:p>
      <w:pPr>
        <w:pStyle w:val="816"/>
        <w:numPr>
          <w:ilvl w:val="0"/>
          <w:numId w:val="3"/>
        </w:numPr>
        <w:rPr>
          <w:color w:val="auto"/>
          <w:highlight w:val="none"/>
          <w:u w:val="none"/>
        </w:rPr>
      </w:pPr>
      <w:r>
        <w:rPr>
          <w:color w:val="auto"/>
          <w:highlight w:val="none"/>
          <w:u w:val="none"/>
        </w:rPr>
        <w:t xml:space="preserve">Pour les sons produit par des instruments évanescents </w:t>
      </w:r>
      <w:r/>
    </w:p>
    <w:p>
      <w:pPr>
        <w:rPr>
          <w:color w:val="auto"/>
          <w:highlight w:val="none"/>
          <w:u w:val="none"/>
        </w:rPr>
      </w:pPr>
      <w:r>
        <w:rPr>
          <w:color w:val="auto"/>
          <w:highlight w:val="none"/>
          <w:u w:val="none"/>
        </w:rPr>
        <w:tab/>
      </w:r>
      <w:r>
        <w:rPr>
          <w:color w:val="auto"/>
          <w:highlight w:val="none"/>
          <w:u w:val="none"/>
        </w:rPr>
      </w:r>
    </w:p>
    <w:p>
      <w:pPr>
        <w:pStyle w:val="816"/>
        <w:numPr>
          <w:ilvl w:val="0"/>
          <w:numId w:val="3"/>
        </w:numPr>
        <w:rPr>
          <w:color w:val="auto"/>
          <w:highlight w:val="none"/>
          <w:u w:val="none"/>
        </w:rPr>
      </w:pPr>
      <w:r>
        <w:rPr>
          <w:color w:val="auto"/>
          <w:highlight w:val="none"/>
          <w:u w:val="none"/>
        </w:rPr>
        <w:t xml:space="preserve">Pour les sons produit par des instruments non évanescents</w:t>
      </w:r>
      <w:r/>
    </w:p>
    <w:p>
      <w:pPr>
        <w:ind w:left="0" w:firstLine="0"/>
        <w:rPr>
          <w:color w:val="auto"/>
          <w:highlight w:val="none"/>
          <w:u w:val="none"/>
        </w:rPr>
      </w:pPr>
      <w:r>
        <w:rPr>
          <w:color w:val="auto"/>
          <w:highlight w:val="none"/>
          <w:u w:val="none"/>
        </w:rPr>
        <w:tab/>
        <w:t xml:space="preserve">Méthode 1 = on échantillonne uniquement une période et on reboucle pour générer le </w:t>
        <w:tab/>
        <w:t xml:space="preserve">sons de sortie. Cette méthode permet de gros gain en thermes d’espace de stockage.</w:t>
      </w:r>
      <w:r>
        <w:rPr>
          <w:color w:val="auto"/>
          <w:highlight w:val="none"/>
          <w:u w:val="none"/>
        </w:rPr>
      </w:r>
    </w:p>
    <w:p>
      <w:pPr>
        <w:ind w:left="0" w:firstLine="0"/>
        <w:rPr>
          <w:color w:val="auto"/>
          <w:highlight w:val="none"/>
          <w:u w:val="none"/>
        </w:rPr>
      </w:pPr>
      <w:r>
        <w:rPr>
          <w:color w:val="auto"/>
          <w:highlight w:val="none"/>
          <w:u w:val="none"/>
        </w:rPr>
        <w:tab/>
        <w:t xml:space="preserve">Méthode 2 = on échantillonne le signal complet sur 5 seconde et on le joue ne entier. </w:t>
        <w:tab/>
        <w:t xml:space="preserve">L’inconvénient est que pour stocker les échantillons il faut beaucoup d’espace mémoire.</w:t>
      </w:r>
      <w:r>
        <w:rPr>
          <w:color w:val="auto"/>
          <w:highlight w:val="none"/>
          <w:u w:val="none"/>
        </w:rPr>
      </w:r>
      <w:r>
        <w:rPr>
          <w:color w:val="auto"/>
          <w:highlight w:val="none"/>
          <w:u w:val="none"/>
        </w:rPr>
      </w:r>
    </w:p>
    <w:p>
      <w:pPr>
        <w:ind w:left="0" w:firstLine="0"/>
        <w:rPr>
          <w:color w:val="auto"/>
          <w:highlight w:val="none"/>
          <w:u w:val="none"/>
        </w:rPr>
      </w:pPr>
      <w:r>
        <w:rPr>
          <w:color w:val="auto"/>
          <w:highlight w:val="none"/>
          <w:u w:val="none"/>
        </w:rPr>
        <w:t xml:space="preserve"> </w:t>
      </w:r>
      <w:r>
        <w:rPr>
          <w:color w:val="auto"/>
          <w:highlight w:val="none"/>
          <w:u w:val="none"/>
        </w:rPr>
      </w:r>
    </w:p>
    <w:p>
      <w:pPr>
        <w:rPr>
          <w:highlight w:val="none"/>
          <w:u w:val="single"/>
        </w:rPr>
      </w:pPr>
      <w:r>
        <w:rPr>
          <w:highlight w:val="none"/>
          <w:u w:val="single"/>
        </w:rPr>
        <w:t xml:space="preserve">Stockage du signal par analyse du spectre de fréquence</w:t>
      </w:r>
      <w:r>
        <w:rPr>
          <w:highlight w:val="none"/>
          <w:u w:val="single"/>
        </w:rPr>
        <w:t xml:space="preserve"> :</w:t>
      </w:r>
      <w:r>
        <w:rPr>
          <w:highlight w:val="none"/>
          <w:u w:val="none"/>
        </w:rPr>
      </w:r>
      <w:r/>
    </w:p>
    <w:p>
      <w:pPr>
        <w:jc w:val="both"/>
        <w:rPr>
          <w:highlight w:val="none"/>
          <w:u w:val="none"/>
        </w:rPr>
      </w:pPr>
      <w:r>
        <w:rPr>
          <w:highlight w:val="none"/>
          <w:u w:val="none"/>
        </w:rPr>
        <w:t xml:space="preserve">Il faudrait faire d</w:t>
      </w:r>
      <w:r>
        <w:rPr>
          <w:i w:val="0"/>
          <w:highlight w:val="none"/>
          <w:u w:val="none"/>
        </w:rPr>
        <w:t xml:space="preserve">es tests pour essayer d’identifier combien de raie de fréquence il faut mémoriser pour échantillonner un signal </w:t>
      </w:r>
      <w:r>
        <w:rPr>
          <w:highlight w:val="none"/>
          <w:u w:val="none"/>
        </w:rPr>
      </w:r>
      <w:r/>
      <w:r>
        <w:rPr>
          <w:highlight w:val="none"/>
          <w:u w:val="none"/>
        </w:rPr>
      </w:r>
      <w:r>
        <w:rPr>
          <w:highlight w:val="none"/>
          <w:u w:val="none"/>
        </w:rPr>
      </w:r>
      <w:r/>
    </w:p>
    <w:p>
      <w:pPr>
        <w:jc w:val="both"/>
        <w:rPr>
          <w:highlight w:val="none"/>
          <w:u w:val="none"/>
        </w:rPr>
      </w:pPr>
      <w:r>
        <w:rPr>
          <w:highlight w:val="none"/>
          <w:u w:val="none"/>
        </w:rPr>
      </w:r>
      <w:r>
        <w:rPr>
          <w:highlight w:val="none"/>
          <w:u w:val="single"/>
        </w:rPr>
        <w:t xml:space="preserve">Méthode d’échantillonnage :</w:t>
      </w:r>
      <w:r/>
    </w:p>
    <w:p>
      <w:pPr>
        <w:jc w:val="both"/>
        <w:rPr>
          <w:highlight w:val="none"/>
          <w:u w:val="none"/>
        </w:rPr>
      </w:pPr>
      <w:r>
        <w:rPr>
          <w:highlight w:val="none"/>
          <w:u w:val="none"/>
        </w:rPr>
        <w:t xml:space="preserve">Afin de générer différentes notes (fréquences) nous avons déterminé plusieurs solutions : </w:t>
      </w:r>
      <w:r/>
    </w:p>
    <w:p>
      <w:pPr>
        <w:ind w:left="0" w:firstLine="0"/>
        <w:jc w:val="both"/>
        <w:rPr>
          <w:highlight w:val="none"/>
          <w:u w:val="none"/>
        </w:rPr>
      </w:pPr>
      <w:r>
        <w:rPr>
          <w:b/>
          <w:highlight w:val="none"/>
          <w:u w:val="none"/>
        </w:rPr>
        <w:t xml:space="preserve">La première solutions </w:t>
      </w:r>
      <w:r>
        <w:rPr>
          <w:highlight w:val="none"/>
          <w:u w:val="none"/>
        </w:rPr>
        <w:t xml:space="preserve">consiste à stocker dans la mémoire toutes les notes de musiques.</w:t>
      </w:r>
      <w:r>
        <w:rPr>
          <w:highlight w:val="none"/>
          <w:u w:val="none"/>
        </w:rPr>
      </w:r>
      <w:r/>
    </w:p>
    <w:p>
      <w:pPr>
        <w:jc w:val="both"/>
        <w:rPr>
          <w:highlight w:val="none"/>
          <w:u w:val="none"/>
        </w:rPr>
      </w:pPr>
      <w:r>
        <w:rPr>
          <w:highlight w:val="none"/>
          <w:u w:val="none"/>
        </w:rPr>
        <w:t xml:space="preserve">Après avoir réaliser des tests, nous nous sommes rendu compte </w:t>
      </w:r>
      <w:r>
        <w:rPr>
          <w:highlight w:val="none"/>
          <w:u w:val="none"/>
        </w:rPr>
        <w:t xml:space="preserve">qu’un échantillon de notes de musique au format « .ogg »  pouvait être sauvegarder et réservait une mémoire associé correspondant à 30 Ko ou moins. Pour obtenir cette échantillon nous avons enregistrer une note de musique sur Audacity et l’avons exporter. </w:t>
      </w:r>
      <w:r>
        <w:rPr>
          <w:highlight w:val="none"/>
          <w:u w:val="none"/>
        </w:rPr>
      </w:r>
      <w:r/>
    </w:p>
    <w:p>
      <w:pPr>
        <w:jc w:val="both"/>
        <w:rPr>
          <w:highlight w:val="none"/>
          <w:u w:val="none"/>
        </w:rPr>
      </w:pPr>
      <w:r>
        <w:rPr>
          <w:highlight w:val="none"/>
          <w:u w:val="none"/>
        </w:rPr>
        <w:t xml:space="preserve">Donc si nous enregistrons toutes les notes de musique dans la mémoire la place requise serait de : 4 x 14 x 30Ko </w:t>
      </w:r>
      <w:r>
        <w:rPr>
          <w:highlight w:val="yellow"/>
          <w:u w:val="none"/>
        </w:rPr>
        <w:t xml:space="preserve">= 1680 Ko soit 1.7 Mo.</w:t>
      </w:r>
      <w:r>
        <w:rPr>
          <w:highlight w:val="none"/>
          <w:u w:val="none"/>
        </w:rPr>
      </w:r>
      <w:r/>
    </w:p>
    <w:p>
      <w:pPr>
        <w:jc w:val="both"/>
        <w:rPr>
          <w:b w:val="0"/>
          <w:highlight w:val="none"/>
          <w:u w:val="none"/>
        </w:rPr>
      </w:pPr>
      <w:r>
        <w:rPr>
          <w:b/>
          <w:highlight w:val="none"/>
          <w:u w:val="none"/>
        </w:rPr>
        <w:t xml:space="preserve">La seconde solutions </w:t>
      </w:r>
      <w:r>
        <w:rPr>
          <w:b w:val="0"/>
          <w:highlight w:val="none"/>
          <w:u w:val="none"/>
        </w:rPr>
        <w:t xml:space="preserve">consiste à enregistrer un échantillon nous-même sur une fréquence intermédiaire à l’octave 3 et 4. Soit à la fréquence de Ré(4) (594Hz). Puis pour générer les autres notes, il suffit d’augmenter ou diminuer la fréquence de l’échantillon.</w:t>
      </w:r>
      <w:r>
        <w:rPr>
          <w:b w:val="0"/>
          <w:highlight w:val="none"/>
          <w:u w:val="none"/>
        </w:rPr>
        <w:t xml:space="preserve"> Voir la section fréquence d’échantillonnage. </w:t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fr-FR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6">
    <w:name w:val="Heading 1"/>
    <w:basedOn w:val="812"/>
    <w:next w:val="812"/>
    <w:link w:val="637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37">
    <w:name w:val="Heading 1 Char"/>
    <w:link w:val="636"/>
    <w:uiPriority w:val="9"/>
    <w:rPr>
      <w:rFonts w:ascii="Arial" w:hAnsi="Arial" w:cs="Arial" w:eastAsia="Arial"/>
      <w:sz w:val="40"/>
      <w:szCs w:val="40"/>
    </w:rPr>
  </w:style>
  <w:style w:type="paragraph" w:styleId="638">
    <w:name w:val="Heading 2"/>
    <w:basedOn w:val="812"/>
    <w:next w:val="812"/>
    <w:link w:val="63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39">
    <w:name w:val="Heading 2 Char"/>
    <w:link w:val="638"/>
    <w:uiPriority w:val="9"/>
    <w:rPr>
      <w:rFonts w:ascii="Arial" w:hAnsi="Arial" w:cs="Arial" w:eastAsia="Arial"/>
      <w:sz w:val="34"/>
    </w:rPr>
  </w:style>
  <w:style w:type="paragraph" w:styleId="640">
    <w:name w:val="Heading 3"/>
    <w:basedOn w:val="812"/>
    <w:next w:val="812"/>
    <w:link w:val="64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41">
    <w:name w:val="Heading 3 Char"/>
    <w:link w:val="640"/>
    <w:uiPriority w:val="9"/>
    <w:rPr>
      <w:rFonts w:ascii="Arial" w:hAnsi="Arial" w:cs="Arial" w:eastAsia="Arial"/>
      <w:sz w:val="30"/>
      <w:szCs w:val="30"/>
    </w:rPr>
  </w:style>
  <w:style w:type="paragraph" w:styleId="642">
    <w:name w:val="Heading 4"/>
    <w:basedOn w:val="812"/>
    <w:next w:val="812"/>
    <w:link w:val="64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3">
    <w:name w:val="Heading 4 Char"/>
    <w:link w:val="642"/>
    <w:uiPriority w:val="9"/>
    <w:rPr>
      <w:rFonts w:ascii="Arial" w:hAnsi="Arial" w:cs="Arial" w:eastAsia="Arial"/>
      <w:b/>
      <w:bCs/>
      <w:sz w:val="26"/>
      <w:szCs w:val="26"/>
    </w:rPr>
  </w:style>
  <w:style w:type="paragraph" w:styleId="644">
    <w:name w:val="Heading 5"/>
    <w:basedOn w:val="812"/>
    <w:next w:val="812"/>
    <w:link w:val="64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5">
    <w:name w:val="Heading 5 Char"/>
    <w:link w:val="644"/>
    <w:uiPriority w:val="9"/>
    <w:rPr>
      <w:rFonts w:ascii="Arial" w:hAnsi="Arial" w:cs="Arial" w:eastAsia="Arial"/>
      <w:b/>
      <w:bCs/>
      <w:sz w:val="24"/>
      <w:szCs w:val="24"/>
    </w:rPr>
  </w:style>
  <w:style w:type="paragraph" w:styleId="646">
    <w:name w:val="Heading 6"/>
    <w:basedOn w:val="812"/>
    <w:next w:val="812"/>
    <w:link w:val="64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7">
    <w:name w:val="Heading 6 Char"/>
    <w:link w:val="646"/>
    <w:uiPriority w:val="9"/>
    <w:rPr>
      <w:rFonts w:ascii="Arial" w:hAnsi="Arial" w:cs="Arial" w:eastAsia="Arial"/>
      <w:b/>
      <w:bCs/>
      <w:sz w:val="22"/>
      <w:szCs w:val="22"/>
    </w:rPr>
  </w:style>
  <w:style w:type="paragraph" w:styleId="648">
    <w:name w:val="Heading 7"/>
    <w:basedOn w:val="812"/>
    <w:next w:val="812"/>
    <w:link w:val="64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49">
    <w:name w:val="Heading 7 Char"/>
    <w:link w:val="64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0">
    <w:name w:val="Heading 8"/>
    <w:basedOn w:val="812"/>
    <w:next w:val="812"/>
    <w:link w:val="65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51">
    <w:name w:val="Heading 8 Char"/>
    <w:link w:val="650"/>
    <w:uiPriority w:val="9"/>
    <w:rPr>
      <w:rFonts w:ascii="Arial" w:hAnsi="Arial" w:cs="Arial" w:eastAsia="Arial"/>
      <w:i/>
      <w:iCs/>
      <w:sz w:val="22"/>
      <w:szCs w:val="22"/>
    </w:rPr>
  </w:style>
  <w:style w:type="paragraph" w:styleId="652">
    <w:name w:val="Heading 9"/>
    <w:basedOn w:val="812"/>
    <w:next w:val="812"/>
    <w:link w:val="65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3">
    <w:name w:val="Heading 9 Char"/>
    <w:link w:val="652"/>
    <w:uiPriority w:val="9"/>
    <w:rPr>
      <w:rFonts w:ascii="Arial" w:hAnsi="Arial" w:cs="Arial" w:eastAsia="Arial"/>
      <w:i/>
      <w:iCs/>
      <w:sz w:val="21"/>
      <w:szCs w:val="21"/>
    </w:rPr>
  </w:style>
  <w:style w:type="paragraph" w:styleId="654">
    <w:name w:val="Title"/>
    <w:basedOn w:val="812"/>
    <w:next w:val="812"/>
    <w:link w:val="65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5">
    <w:name w:val="Title Char"/>
    <w:link w:val="654"/>
    <w:uiPriority w:val="10"/>
    <w:rPr>
      <w:sz w:val="48"/>
      <w:szCs w:val="48"/>
    </w:rPr>
  </w:style>
  <w:style w:type="paragraph" w:styleId="656">
    <w:name w:val="Subtitle"/>
    <w:basedOn w:val="812"/>
    <w:next w:val="812"/>
    <w:link w:val="657"/>
    <w:uiPriority w:val="11"/>
    <w:qFormat/>
    <w:pPr>
      <w:spacing w:before="200" w:after="200"/>
    </w:pPr>
    <w:rPr>
      <w:sz w:val="24"/>
      <w:szCs w:val="24"/>
    </w:rPr>
  </w:style>
  <w:style w:type="character" w:styleId="657">
    <w:name w:val="Subtitle Char"/>
    <w:link w:val="656"/>
    <w:uiPriority w:val="11"/>
    <w:rPr>
      <w:sz w:val="24"/>
      <w:szCs w:val="24"/>
    </w:rPr>
  </w:style>
  <w:style w:type="paragraph" w:styleId="658">
    <w:name w:val="Quote"/>
    <w:basedOn w:val="812"/>
    <w:next w:val="812"/>
    <w:link w:val="659"/>
    <w:uiPriority w:val="29"/>
    <w:qFormat/>
    <w:pPr>
      <w:ind w:left="720" w:right="720"/>
    </w:pPr>
    <w:rPr>
      <w:i/>
    </w:rPr>
  </w:style>
  <w:style w:type="character" w:styleId="659">
    <w:name w:val="Quote Char"/>
    <w:link w:val="658"/>
    <w:uiPriority w:val="29"/>
    <w:rPr>
      <w:i/>
    </w:rPr>
  </w:style>
  <w:style w:type="paragraph" w:styleId="660">
    <w:name w:val="Intense Quote"/>
    <w:basedOn w:val="812"/>
    <w:next w:val="812"/>
    <w:link w:val="66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1">
    <w:name w:val="Intense Quote Char"/>
    <w:link w:val="660"/>
    <w:uiPriority w:val="30"/>
    <w:rPr>
      <w:i/>
    </w:rPr>
  </w:style>
  <w:style w:type="paragraph" w:styleId="662">
    <w:name w:val="Header"/>
    <w:basedOn w:val="812"/>
    <w:link w:val="66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Header Char"/>
    <w:link w:val="662"/>
    <w:uiPriority w:val="99"/>
  </w:style>
  <w:style w:type="paragraph" w:styleId="664">
    <w:name w:val="Footer"/>
    <w:basedOn w:val="812"/>
    <w:link w:val="66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5">
    <w:name w:val="Footer Char"/>
    <w:link w:val="664"/>
    <w:uiPriority w:val="99"/>
  </w:style>
  <w:style w:type="paragraph" w:styleId="666">
    <w:name w:val="Caption"/>
    <w:basedOn w:val="812"/>
    <w:next w:val="81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7">
    <w:name w:val="Caption Char"/>
    <w:basedOn w:val="666"/>
    <w:link w:val="664"/>
    <w:uiPriority w:val="99"/>
  </w:style>
  <w:style w:type="table" w:styleId="668">
    <w:name w:val="Table Grid"/>
    <w:basedOn w:val="81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9">
    <w:name w:val="Table Grid Light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0">
    <w:name w:val="Plain Table 1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1">
    <w:name w:val="Plain Table 2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2">
    <w:name w:val="Plain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3">
    <w:name w:val="Plain Table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Plain Table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5">
    <w:name w:val="Grid Table 1 Light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4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7">
    <w:name w:val="Grid Table 4 - Accent 1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8">
    <w:name w:val="Grid Table 4 - Accent 2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9">
    <w:name w:val="Grid Table 4 - Accent 3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0">
    <w:name w:val="Grid Table 4 - Accent 4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1">
    <w:name w:val="Grid Table 4 - Accent 5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2">
    <w:name w:val="Grid Table 4 - Accent 6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3">
    <w:name w:val="Grid Table 5 Dark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4">
    <w:name w:val="Grid Table 5 Dark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5">
    <w:name w:val="Grid Table 5 Dark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7">
    <w:name w:val="Grid Table 5 Dark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0">
    <w:name w:val="Grid Table 6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1">
    <w:name w:val="Grid Table 6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2">
    <w:name w:val="Grid Table 6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3">
    <w:name w:val="Grid Table 6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4">
    <w:name w:val="Grid Table 6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5">
    <w:name w:val="Grid Table 6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6">
    <w:name w:val="Grid Table 6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7">
    <w:name w:val="Grid Table 7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2">
    <w:name w:val="List Table 2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3">
    <w:name w:val="List Table 2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4">
    <w:name w:val="List Table 2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5">
    <w:name w:val="List Table 2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6">
    <w:name w:val="List Table 2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7">
    <w:name w:val="List Table 2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8">
    <w:name w:val="List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5 Dark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6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0">
    <w:name w:val="List Table 6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1">
    <w:name w:val="List Table 6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2">
    <w:name w:val="List Table 6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3">
    <w:name w:val="List Table 6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4">
    <w:name w:val="List Table 6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5">
    <w:name w:val="List Table 6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6">
    <w:name w:val="List Table 7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7">
    <w:name w:val="List Table 7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8">
    <w:name w:val="List Table 7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9">
    <w:name w:val="List Table 7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0">
    <w:name w:val="List Table 7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1">
    <w:name w:val="List Table 7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2">
    <w:name w:val="List Table 7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3">
    <w:name w:val="Lined - Accent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4">
    <w:name w:val="Lined - Accent 1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5">
    <w:name w:val="Lined - Accent 2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6">
    <w:name w:val="Lined - Accent 3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7">
    <w:name w:val="Lined - Accent 4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8">
    <w:name w:val="Lined - Accent 5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9">
    <w:name w:val="Lined - Accent 6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0">
    <w:name w:val="Bordered &amp; Lined - Accent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1">
    <w:name w:val="Bordered &amp; Lined - Accent 1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2">
    <w:name w:val="Bordered &amp; Lined - Accent 2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3">
    <w:name w:val="Bordered &amp; Lined - Accent 3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4">
    <w:name w:val="Bordered &amp; Lined - Accent 4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5">
    <w:name w:val="Bordered &amp; Lined - Accent 5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6">
    <w:name w:val="Bordered &amp; Lined - Accent 6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7">
    <w:name w:val="Bordered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8">
    <w:name w:val="Bordered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9">
    <w:name w:val="Bordered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0">
    <w:name w:val="Bordered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1">
    <w:name w:val="Bordered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2">
    <w:name w:val="Bordered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3">
    <w:name w:val="Bordered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4">
    <w:name w:val="Hyperlink"/>
    <w:uiPriority w:val="99"/>
    <w:unhideWhenUsed/>
    <w:rPr>
      <w:color w:val="0000FF" w:themeColor="hyperlink"/>
      <w:u w:val="single"/>
    </w:rPr>
  </w:style>
  <w:style w:type="paragraph" w:styleId="795">
    <w:name w:val="footnote text"/>
    <w:basedOn w:val="812"/>
    <w:link w:val="796"/>
    <w:uiPriority w:val="99"/>
    <w:semiHidden/>
    <w:unhideWhenUsed/>
    <w:pPr>
      <w:spacing w:after="40" w:line="240" w:lineRule="auto"/>
    </w:pPr>
    <w:rPr>
      <w:sz w:val="18"/>
    </w:rPr>
  </w:style>
  <w:style w:type="character" w:styleId="796">
    <w:name w:val="Footnote Text Char"/>
    <w:link w:val="795"/>
    <w:uiPriority w:val="99"/>
    <w:rPr>
      <w:sz w:val="18"/>
    </w:rPr>
  </w:style>
  <w:style w:type="character" w:styleId="797">
    <w:name w:val="footnote reference"/>
    <w:uiPriority w:val="99"/>
    <w:unhideWhenUsed/>
    <w:rPr>
      <w:vertAlign w:val="superscript"/>
    </w:rPr>
  </w:style>
  <w:style w:type="paragraph" w:styleId="798">
    <w:name w:val="endnote text"/>
    <w:basedOn w:val="812"/>
    <w:link w:val="799"/>
    <w:uiPriority w:val="99"/>
    <w:semiHidden/>
    <w:unhideWhenUsed/>
    <w:pPr>
      <w:spacing w:after="0" w:line="240" w:lineRule="auto"/>
    </w:pPr>
    <w:rPr>
      <w:sz w:val="20"/>
    </w:rPr>
  </w:style>
  <w:style w:type="character" w:styleId="799">
    <w:name w:val="Endnote Text Char"/>
    <w:link w:val="798"/>
    <w:uiPriority w:val="99"/>
    <w:rPr>
      <w:sz w:val="20"/>
    </w:rPr>
  </w:style>
  <w:style w:type="character" w:styleId="800">
    <w:name w:val="endnote reference"/>
    <w:uiPriority w:val="99"/>
    <w:semiHidden/>
    <w:unhideWhenUsed/>
    <w:rPr>
      <w:vertAlign w:val="superscript"/>
    </w:rPr>
  </w:style>
  <w:style w:type="paragraph" w:styleId="801">
    <w:name w:val="toc 1"/>
    <w:basedOn w:val="812"/>
    <w:next w:val="812"/>
    <w:uiPriority w:val="39"/>
    <w:unhideWhenUsed/>
    <w:pPr>
      <w:ind w:left="0" w:right="0" w:firstLine="0"/>
      <w:spacing w:after="57"/>
    </w:pPr>
  </w:style>
  <w:style w:type="paragraph" w:styleId="802">
    <w:name w:val="toc 2"/>
    <w:basedOn w:val="812"/>
    <w:next w:val="812"/>
    <w:uiPriority w:val="39"/>
    <w:unhideWhenUsed/>
    <w:pPr>
      <w:ind w:left="283" w:right="0" w:firstLine="0"/>
      <w:spacing w:after="57"/>
    </w:pPr>
  </w:style>
  <w:style w:type="paragraph" w:styleId="803">
    <w:name w:val="toc 3"/>
    <w:basedOn w:val="812"/>
    <w:next w:val="812"/>
    <w:uiPriority w:val="39"/>
    <w:unhideWhenUsed/>
    <w:pPr>
      <w:ind w:left="567" w:right="0" w:firstLine="0"/>
      <w:spacing w:after="57"/>
    </w:pPr>
  </w:style>
  <w:style w:type="paragraph" w:styleId="804">
    <w:name w:val="toc 4"/>
    <w:basedOn w:val="812"/>
    <w:next w:val="812"/>
    <w:uiPriority w:val="39"/>
    <w:unhideWhenUsed/>
    <w:pPr>
      <w:ind w:left="850" w:right="0" w:firstLine="0"/>
      <w:spacing w:after="57"/>
    </w:pPr>
  </w:style>
  <w:style w:type="paragraph" w:styleId="805">
    <w:name w:val="toc 5"/>
    <w:basedOn w:val="812"/>
    <w:next w:val="812"/>
    <w:uiPriority w:val="39"/>
    <w:unhideWhenUsed/>
    <w:pPr>
      <w:ind w:left="1134" w:right="0" w:firstLine="0"/>
      <w:spacing w:after="57"/>
    </w:pPr>
  </w:style>
  <w:style w:type="paragraph" w:styleId="806">
    <w:name w:val="toc 6"/>
    <w:basedOn w:val="812"/>
    <w:next w:val="812"/>
    <w:uiPriority w:val="39"/>
    <w:unhideWhenUsed/>
    <w:pPr>
      <w:ind w:left="1417" w:right="0" w:firstLine="0"/>
      <w:spacing w:after="57"/>
    </w:pPr>
  </w:style>
  <w:style w:type="paragraph" w:styleId="807">
    <w:name w:val="toc 7"/>
    <w:basedOn w:val="812"/>
    <w:next w:val="812"/>
    <w:uiPriority w:val="39"/>
    <w:unhideWhenUsed/>
    <w:pPr>
      <w:ind w:left="1701" w:right="0" w:firstLine="0"/>
      <w:spacing w:after="57"/>
    </w:pPr>
  </w:style>
  <w:style w:type="paragraph" w:styleId="808">
    <w:name w:val="toc 8"/>
    <w:basedOn w:val="812"/>
    <w:next w:val="812"/>
    <w:uiPriority w:val="39"/>
    <w:unhideWhenUsed/>
    <w:pPr>
      <w:ind w:left="1984" w:right="0" w:firstLine="0"/>
      <w:spacing w:after="57"/>
    </w:pPr>
  </w:style>
  <w:style w:type="paragraph" w:styleId="809">
    <w:name w:val="toc 9"/>
    <w:basedOn w:val="812"/>
    <w:next w:val="812"/>
    <w:uiPriority w:val="39"/>
    <w:unhideWhenUsed/>
    <w:pPr>
      <w:ind w:left="2268" w:right="0" w:firstLine="0"/>
      <w:spacing w:after="57"/>
    </w:pPr>
  </w:style>
  <w:style w:type="paragraph" w:styleId="810">
    <w:name w:val="TOC Heading"/>
    <w:uiPriority w:val="39"/>
    <w:unhideWhenUsed/>
  </w:style>
  <w:style w:type="paragraph" w:styleId="811">
    <w:name w:val="table of figures"/>
    <w:basedOn w:val="812"/>
    <w:next w:val="812"/>
    <w:uiPriority w:val="99"/>
    <w:unhideWhenUsed/>
    <w:pPr>
      <w:spacing w:after="0" w:afterAutospacing="0"/>
    </w:pPr>
  </w:style>
  <w:style w:type="paragraph" w:styleId="812" w:default="1">
    <w:name w:val="Normal"/>
    <w:qFormat/>
  </w:style>
  <w:style w:type="table" w:styleId="81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4" w:default="1">
    <w:name w:val="No List"/>
    <w:uiPriority w:val="99"/>
    <w:semiHidden/>
    <w:unhideWhenUsed/>
  </w:style>
  <w:style w:type="paragraph" w:styleId="815">
    <w:name w:val="No Spacing"/>
    <w:basedOn w:val="812"/>
    <w:uiPriority w:val="1"/>
    <w:qFormat/>
    <w:pPr>
      <w:spacing w:after="0" w:line="240" w:lineRule="auto"/>
    </w:pPr>
  </w:style>
  <w:style w:type="paragraph" w:styleId="816">
    <w:name w:val="List Paragraph"/>
    <w:basedOn w:val="812"/>
    <w:uiPriority w:val="34"/>
    <w:qFormat/>
    <w:pPr>
      <w:contextualSpacing/>
      <w:ind w:left="720"/>
    </w:pPr>
  </w:style>
  <w:style w:type="character" w:styleId="81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4</cp:revision>
  <dcterms:modified xsi:type="dcterms:W3CDTF">2022-03-07T16:51:40Z</dcterms:modified>
</cp:coreProperties>
</file>