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18A" w:rsidRDefault="0007006D">
      <w:pPr>
        <w:pStyle w:val="Heading1"/>
        <w:jc w:val="center"/>
      </w:pPr>
      <w:r>
        <w:t>Configuration du LPC1769</w:t>
      </w:r>
    </w:p>
    <w:p w:rsidR="0015718A" w:rsidRDefault="0015718A"/>
    <w:p w:rsidR="0015718A" w:rsidRDefault="0007006D">
      <w:pPr>
        <w:jc w:val="both"/>
      </w:pPr>
      <w:r>
        <w:t>Le but de ce document est de détailler les solutions choisie concernant la configuration du LPC1769, à savoir le bilan d’entrée/sortie, le bilan des périphériques, la configuration des périphérique et le bilan de la mémoire.</w:t>
      </w:r>
    </w:p>
    <w:p w:rsidR="0015718A" w:rsidRDefault="0007006D">
      <w:pPr>
        <w:pStyle w:val="Heading2"/>
      </w:pPr>
      <w:r>
        <w:t>Gestion de l’alimentation</w:t>
      </w:r>
    </w:p>
    <w:p w:rsidR="0015718A" w:rsidRDefault="0007006D">
      <w:r>
        <w:t>Pour la gestion de l’alimentation nous utiliserons le schéma électrique suivant.</w:t>
      </w:r>
    </w:p>
    <w:p w:rsidR="0015718A" w:rsidRDefault="0007006D">
      <w:r>
        <w:rPr>
          <w:noProof/>
          <w:lang w:eastAsia="fr-FR"/>
        </w:rPr>
        <mc:AlternateContent>
          <mc:Choice Requires="wpg">
            <w:drawing>
              <wp:inline distT="0" distB="0" distL="0" distR="0">
                <wp:extent cx="4283331" cy="23796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61017" name=""/>
                        <pic:cNvPicPr>
                          <a:picLocks noChangeAspect="1"/>
                        </pic:cNvPicPr>
                      </pic:nvPicPr>
                      <pic:blipFill>
                        <a:blip r:embed="rId7"/>
                        <a:stretch/>
                      </pic:blipFill>
                      <pic:spPr bwMode="auto">
                        <a:xfrm>
                          <a:off x="0" y="0"/>
                          <a:ext cx="4283330" cy="2379628"/>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37.3pt;height:187.4pt;" stroked="false">
                <v:path textboxrect="0,0,0,0"/>
                <v:imagedata r:id="rId9" o:title=""/>
              </v:shape>
            </w:pict>
          </mc:Fallback>
        </mc:AlternateContent>
      </w:r>
    </w:p>
    <w:p w:rsidR="0015718A" w:rsidRDefault="0007006D">
      <w:pPr>
        <w:jc w:val="both"/>
      </w:pPr>
      <w:r>
        <w:t xml:space="preserve">Le </w:t>
      </w:r>
      <w:r>
        <w:t>but de ce schéma électrique est d’alimenter la carte du LPC1769 lors d’un appuie sur le bouton d’alimentation, puis d’avoir un maintient de l’al</w:t>
      </w:r>
      <w:r>
        <w:t>imentation sans avoir à rester appuyé sur le bouton. Lorsque la batterie descend en dessous d’un certain seuil, la carte coupe son alimentation en bloquant le transistor de maintient de l’alimentation. La carte LPC1769 implémentera également une veille aut</w:t>
      </w:r>
      <w:r>
        <w:t xml:space="preserve">omatique au bout d’un certain temps. </w:t>
      </w:r>
    </w:p>
    <w:p w:rsidR="0015718A" w:rsidRDefault="0007006D">
      <w:r>
        <w:br w:type="page"/>
      </w:r>
    </w:p>
    <w:p w:rsidR="0015718A" w:rsidRDefault="0007006D">
      <w:pPr>
        <w:pStyle w:val="Heading2"/>
      </w:pPr>
      <w:r>
        <w:lastRenderedPageBreak/>
        <w:t>Bilan d’entrée/sortie</w:t>
      </w:r>
    </w:p>
    <w:p w:rsidR="0015718A" w:rsidRDefault="0007006D">
      <w:pPr>
        <w:jc w:val="both"/>
      </w:pPr>
      <w:r>
        <w:t>Voici ci dessous un schéma de notre bilan d’entrée/sortie pour le projet du synthétiseur pour enfant.</w:t>
      </w:r>
    </w:p>
    <w:p w:rsidR="0015718A" w:rsidRDefault="0007006D">
      <w:r>
        <w:rPr>
          <w:noProof/>
          <w:lang w:eastAsia="fr-FR"/>
        </w:rPr>
        <mc:AlternateContent>
          <mc:Choice Requires="wpg">
            <w:drawing>
              <wp:inline distT="0" distB="0" distL="0" distR="0">
                <wp:extent cx="5940425" cy="5611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448848" name=""/>
                        <pic:cNvPicPr>
                          <a:picLocks noChangeAspect="1"/>
                        </pic:cNvPicPr>
                      </pic:nvPicPr>
                      <pic:blipFill>
                        <a:blip r:embed="rId10"/>
                        <a:stretch/>
                      </pic:blipFill>
                      <pic:spPr bwMode="auto">
                        <a:xfrm>
                          <a:off x="0" y="0"/>
                          <a:ext cx="5940424" cy="561131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7.8pt;height:441.8pt;" stroked="false">
                <v:path textboxrect="0,0,0,0"/>
                <v:imagedata r:id="rId11" o:title=""/>
              </v:shape>
            </w:pict>
          </mc:Fallback>
        </mc:AlternateContent>
      </w:r>
    </w:p>
    <w:p w:rsidR="0015718A" w:rsidRDefault="0007006D">
      <w:pPr>
        <w:jc w:val="both"/>
      </w:pPr>
      <w:r>
        <w:t>Notre système comporte 23 entrées dont une non reliée au microcontrôleur (Potentiomètre po</w:t>
      </w:r>
      <w:r>
        <w:t xml:space="preserve">ur le volume max) qui est directement relié à l’amplificateur pour régler le gain de l’amplificateur. Le système comporte également 7 LED de sortie afin de communiquer des informations sur l’état du système. </w:t>
      </w:r>
    </w:p>
    <w:p w:rsidR="0015718A" w:rsidRDefault="0007006D">
      <w:pPr>
        <w:jc w:val="both"/>
      </w:pPr>
      <w:r>
        <w:t>Les données de la mémoire flash sont chargé dan</w:t>
      </w:r>
      <w:r>
        <w:t xml:space="preserve">s des buffers de la mémoire interne de la carte LPC1769 à l’aide d’un DMA qui est un périphérique interne à la carte. </w:t>
      </w:r>
    </w:p>
    <w:p w:rsidR="0015718A" w:rsidRDefault="0007006D">
      <w:pPr>
        <w:jc w:val="both"/>
      </w:pPr>
      <w:r>
        <w:t>Les échantillons audio traités sont stocké dans les buffers de la carte LPC1769 qui sont ensuite envoyé au codec audio.</w:t>
      </w:r>
    </w:p>
    <w:p w:rsidR="0015718A" w:rsidRDefault="0007006D">
      <w:pPr>
        <w:jc w:val="both"/>
      </w:pPr>
      <w:r>
        <w:t>Une fois le signa</w:t>
      </w:r>
      <w:r>
        <w:t>l reçu sur le codec, le signal est traduit et envoyé à l’amplificateur qui adapte le niveau de sons avant que le haut-parleur ne joue le sons.</w:t>
      </w:r>
    </w:p>
    <w:p w:rsidR="0015718A" w:rsidRDefault="0007006D">
      <w:pPr>
        <w:pStyle w:val="Heading2"/>
      </w:pPr>
      <w:r>
        <w:lastRenderedPageBreak/>
        <w:t>Bilan des périphériques</w:t>
      </w:r>
    </w:p>
    <w:p w:rsidR="0015718A" w:rsidRDefault="0007006D">
      <w:r>
        <w:t>Les périphériques que nous allons utiliser pour ce projet sont les suivants :</w:t>
      </w:r>
    </w:p>
    <w:p w:rsidR="0015718A" w:rsidRDefault="0007006D">
      <w:pPr>
        <w:pStyle w:val="ListParagraph"/>
        <w:numPr>
          <w:ilvl w:val="0"/>
          <w:numId w:val="1"/>
        </w:numPr>
      </w:pPr>
      <w:r>
        <w:t>2 DMA</w:t>
      </w:r>
    </w:p>
    <w:p w:rsidR="0015718A" w:rsidRDefault="0007006D">
      <w:pPr>
        <w:pStyle w:val="ListParagraph"/>
        <w:numPr>
          <w:ilvl w:val="1"/>
          <w:numId w:val="1"/>
        </w:numPr>
      </w:pPr>
      <w:r>
        <w:t>1 pou</w:t>
      </w:r>
      <w:r>
        <w:t>r récupérer les données de la mémoire flash sur la carte LPC1769</w:t>
      </w:r>
    </w:p>
    <w:p w:rsidR="0015718A" w:rsidRDefault="0007006D">
      <w:pPr>
        <w:pStyle w:val="ListParagraph"/>
        <w:numPr>
          <w:ilvl w:val="1"/>
          <w:numId w:val="1"/>
        </w:numPr>
      </w:pPr>
      <w:r>
        <w:t>1 pour envoyé les données de la carte LPC1769 au circuit qui permet de jouer le son</w:t>
      </w:r>
    </w:p>
    <w:p w:rsidR="0015718A" w:rsidRDefault="0007006D">
      <w:pPr>
        <w:pStyle w:val="ListParagraph"/>
        <w:numPr>
          <w:ilvl w:val="0"/>
          <w:numId w:val="1"/>
        </w:numPr>
      </w:pPr>
      <w:r>
        <w:t>2 Timer</w:t>
      </w:r>
    </w:p>
    <w:p w:rsidR="0015718A" w:rsidRDefault="0007006D">
      <w:pPr>
        <w:pStyle w:val="ListParagraph"/>
        <w:numPr>
          <w:ilvl w:val="1"/>
          <w:numId w:val="1"/>
        </w:numPr>
      </w:pPr>
      <w:r>
        <w:t>1 Timer pour envoyé les échantillons à une fréquence régulière pour respecter le signal.</w:t>
      </w:r>
    </w:p>
    <w:p w:rsidR="005A2A90" w:rsidRDefault="0007006D" w:rsidP="005A2A90">
      <w:pPr>
        <w:pStyle w:val="ListParagraph"/>
        <w:numPr>
          <w:ilvl w:val="1"/>
          <w:numId w:val="1"/>
        </w:numPr>
      </w:pPr>
      <w:r>
        <w:t>1 Timer po</w:t>
      </w:r>
      <w:r>
        <w:t>ur gérer le système de veille automatique.</w:t>
      </w:r>
    </w:p>
    <w:p w:rsidR="005A2A90" w:rsidRDefault="005A2A90" w:rsidP="005A2A90">
      <w:pPr>
        <w:pStyle w:val="ListParagraph"/>
        <w:numPr>
          <w:ilvl w:val="0"/>
          <w:numId w:val="1"/>
        </w:numPr>
      </w:pPr>
      <w:r>
        <w:t>I2S</w:t>
      </w:r>
    </w:p>
    <w:p w:rsidR="00871462" w:rsidRDefault="00871462" w:rsidP="00871462"/>
    <w:tbl>
      <w:tblPr>
        <w:tblStyle w:val="TableGrid"/>
        <w:tblW w:w="0" w:type="auto"/>
        <w:tblLook w:val="04A0" w:firstRow="1" w:lastRow="0" w:firstColumn="1" w:lastColumn="0" w:noHBand="0" w:noVBand="1"/>
      </w:tblPr>
      <w:tblGrid>
        <w:gridCol w:w="2336"/>
        <w:gridCol w:w="2336"/>
        <w:gridCol w:w="2336"/>
      </w:tblGrid>
      <w:tr w:rsidR="0080056B" w:rsidTr="007A6C49">
        <w:tc>
          <w:tcPr>
            <w:tcW w:w="2336" w:type="dxa"/>
          </w:tcPr>
          <w:p w:rsidR="0080056B" w:rsidRDefault="0080056B" w:rsidP="00871462">
            <w:r>
              <w:t>Nom</w:t>
            </w:r>
          </w:p>
        </w:tc>
        <w:tc>
          <w:tcPr>
            <w:tcW w:w="2336" w:type="dxa"/>
          </w:tcPr>
          <w:p w:rsidR="0080056B" w:rsidRDefault="0080056B" w:rsidP="00871462">
            <w:r>
              <w:t>Port</w:t>
            </w:r>
          </w:p>
        </w:tc>
        <w:tc>
          <w:tcPr>
            <w:tcW w:w="2336" w:type="dxa"/>
          </w:tcPr>
          <w:p w:rsidR="0080056B" w:rsidRDefault="0080056B" w:rsidP="00871462">
            <w:r>
              <w:t>Pin</w:t>
            </w:r>
          </w:p>
        </w:tc>
      </w:tr>
      <w:tr w:rsidR="0080056B" w:rsidTr="007A6C49">
        <w:tc>
          <w:tcPr>
            <w:tcW w:w="2336" w:type="dxa"/>
          </w:tcPr>
          <w:p w:rsidR="0080056B" w:rsidRDefault="0080056B" w:rsidP="00871462">
            <w:pPr>
              <w:rPr>
                <w:rFonts w:ascii="ArialMT" w:hAnsi="ArialMT" w:cs="ArialMT"/>
                <w:sz w:val="18"/>
                <w:szCs w:val="18"/>
              </w:rPr>
            </w:pPr>
            <w:r>
              <w:rPr>
                <w:rFonts w:ascii="ArialMT" w:hAnsi="ArialMT" w:cs="ArialMT"/>
                <w:sz w:val="18"/>
                <w:szCs w:val="18"/>
              </w:rPr>
              <w:t>I2STX_CLK</w:t>
            </w:r>
          </w:p>
          <w:p w:rsidR="0080056B" w:rsidRDefault="0080056B" w:rsidP="00871462"/>
        </w:tc>
        <w:tc>
          <w:tcPr>
            <w:tcW w:w="2336" w:type="dxa"/>
          </w:tcPr>
          <w:p w:rsidR="0080056B" w:rsidRDefault="0080056B" w:rsidP="00871462">
            <w:r>
              <w:t>P.7</w:t>
            </w:r>
          </w:p>
        </w:tc>
        <w:tc>
          <w:tcPr>
            <w:tcW w:w="2336" w:type="dxa"/>
          </w:tcPr>
          <w:p w:rsidR="0080056B" w:rsidRDefault="001968FB" w:rsidP="00871462">
            <w:r>
              <w:t>10</w:t>
            </w:r>
          </w:p>
        </w:tc>
      </w:tr>
      <w:tr w:rsidR="0080056B" w:rsidTr="007A6C49">
        <w:tc>
          <w:tcPr>
            <w:tcW w:w="2336" w:type="dxa"/>
          </w:tcPr>
          <w:p w:rsidR="0080056B" w:rsidRDefault="0080056B" w:rsidP="00871462">
            <w:pPr>
              <w:rPr>
                <w:rFonts w:ascii="ArialMT" w:hAnsi="ArialMT" w:cs="ArialMT"/>
                <w:sz w:val="18"/>
                <w:szCs w:val="18"/>
              </w:rPr>
            </w:pPr>
            <w:r>
              <w:rPr>
                <w:rFonts w:ascii="ArialMT" w:hAnsi="ArialMT" w:cs="ArialMT"/>
                <w:sz w:val="18"/>
                <w:szCs w:val="18"/>
              </w:rPr>
              <w:t>I</w:t>
            </w:r>
            <w:r>
              <w:rPr>
                <w:rFonts w:ascii="ArialMT" w:hAnsi="ArialMT" w:cs="ArialMT"/>
                <w:sz w:val="18"/>
                <w:szCs w:val="18"/>
              </w:rPr>
              <w:t>2STX_WS</w:t>
            </w:r>
          </w:p>
          <w:p w:rsidR="0080056B" w:rsidRDefault="0080056B" w:rsidP="00871462"/>
        </w:tc>
        <w:tc>
          <w:tcPr>
            <w:tcW w:w="2336" w:type="dxa"/>
          </w:tcPr>
          <w:p w:rsidR="0080056B" w:rsidRDefault="0080056B" w:rsidP="00871462">
            <w:r>
              <w:t>P.8</w:t>
            </w:r>
          </w:p>
        </w:tc>
        <w:tc>
          <w:tcPr>
            <w:tcW w:w="2336" w:type="dxa"/>
          </w:tcPr>
          <w:p w:rsidR="0080056B" w:rsidRDefault="001968FB" w:rsidP="00871462">
            <w:r>
              <w:t>8</w:t>
            </w:r>
          </w:p>
        </w:tc>
      </w:tr>
      <w:tr w:rsidR="0080056B" w:rsidTr="007A6C49">
        <w:tc>
          <w:tcPr>
            <w:tcW w:w="2336" w:type="dxa"/>
          </w:tcPr>
          <w:p w:rsidR="0080056B" w:rsidRDefault="0080056B" w:rsidP="00871462">
            <w:pPr>
              <w:rPr>
                <w:rFonts w:ascii="ArialMT" w:hAnsi="ArialMT" w:cs="ArialMT"/>
                <w:sz w:val="18"/>
                <w:szCs w:val="18"/>
              </w:rPr>
            </w:pPr>
            <w:r>
              <w:rPr>
                <w:rFonts w:ascii="ArialMT" w:hAnsi="ArialMT" w:cs="ArialMT"/>
                <w:sz w:val="18"/>
                <w:szCs w:val="18"/>
              </w:rPr>
              <w:t>I</w:t>
            </w:r>
            <w:r>
              <w:rPr>
                <w:rFonts w:ascii="ArialMT" w:hAnsi="ArialMT" w:cs="ArialMT"/>
                <w:sz w:val="18"/>
                <w:szCs w:val="18"/>
              </w:rPr>
              <w:t>2STX_SDA</w:t>
            </w:r>
          </w:p>
          <w:p w:rsidR="0080056B" w:rsidRDefault="0080056B" w:rsidP="00871462"/>
        </w:tc>
        <w:tc>
          <w:tcPr>
            <w:tcW w:w="2336" w:type="dxa"/>
          </w:tcPr>
          <w:p w:rsidR="0080056B" w:rsidRDefault="0080056B" w:rsidP="00871462">
            <w:r>
              <w:t>P.9</w:t>
            </w:r>
          </w:p>
        </w:tc>
        <w:tc>
          <w:tcPr>
            <w:tcW w:w="2336" w:type="dxa"/>
          </w:tcPr>
          <w:p w:rsidR="0080056B" w:rsidRDefault="001968FB" w:rsidP="00871462">
            <w:r>
              <w:t>10</w:t>
            </w:r>
          </w:p>
        </w:tc>
      </w:tr>
      <w:tr w:rsidR="0080056B" w:rsidTr="007A6C49">
        <w:tc>
          <w:tcPr>
            <w:tcW w:w="2336" w:type="dxa"/>
          </w:tcPr>
          <w:p w:rsidR="0080056B" w:rsidRDefault="0080056B" w:rsidP="00871462">
            <w:pPr>
              <w:rPr>
                <w:rFonts w:ascii="ArialMT" w:hAnsi="ArialMT" w:cs="ArialMT"/>
                <w:sz w:val="18"/>
                <w:szCs w:val="18"/>
              </w:rPr>
            </w:pPr>
            <w:r>
              <w:rPr>
                <w:rFonts w:ascii="ArialMT" w:hAnsi="ArialMT" w:cs="ArialMT"/>
                <w:sz w:val="18"/>
                <w:szCs w:val="18"/>
              </w:rPr>
              <w:t>I</w:t>
            </w:r>
            <w:r>
              <w:rPr>
                <w:rFonts w:ascii="ArialMT" w:hAnsi="ArialMT" w:cs="ArialMT"/>
                <w:sz w:val="18"/>
                <w:szCs w:val="18"/>
              </w:rPr>
              <w:t>2SR</w:t>
            </w:r>
            <w:r>
              <w:rPr>
                <w:rFonts w:ascii="ArialMT" w:hAnsi="ArialMT" w:cs="ArialMT"/>
                <w:sz w:val="18"/>
                <w:szCs w:val="18"/>
              </w:rPr>
              <w:t>X_CLK</w:t>
            </w:r>
          </w:p>
          <w:p w:rsidR="0080056B" w:rsidRDefault="0080056B" w:rsidP="00871462"/>
        </w:tc>
        <w:tc>
          <w:tcPr>
            <w:tcW w:w="2336" w:type="dxa"/>
          </w:tcPr>
          <w:p w:rsidR="0080056B" w:rsidRDefault="0080056B" w:rsidP="00871462">
            <w:r>
              <w:t>P.23</w:t>
            </w:r>
          </w:p>
        </w:tc>
        <w:tc>
          <w:tcPr>
            <w:tcW w:w="2336" w:type="dxa"/>
          </w:tcPr>
          <w:p w:rsidR="0080056B" w:rsidRDefault="00ED0AE9" w:rsidP="00871462">
            <w:r>
              <w:t>5</w:t>
            </w:r>
          </w:p>
        </w:tc>
      </w:tr>
      <w:tr w:rsidR="0080056B" w:rsidTr="007A6C49">
        <w:tc>
          <w:tcPr>
            <w:tcW w:w="2336" w:type="dxa"/>
          </w:tcPr>
          <w:p w:rsidR="0080056B" w:rsidRDefault="0080056B" w:rsidP="00871462">
            <w:pPr>
              <w:rPr>
                <w:rFonts w:ascii="ArialMT" w:hAnsi="ArialMT" w:cs="ArialMT"/>
                <w:sz w:val="18"/>
                <w:szCs w:val="18"/>
              </w:rPr>
            </w:pPr>
            <w:r>
              <w:rPr>
                <w:rFonts w:ascii="ArialMT" w:hAnsi="ArialMT" w:cs="ArialMT"/>
                <w:sz w:val="18"/>
                <w:szCs w:val="18"/>
              </w:rPr>
              <w:t>I2SRX_WS</w:t>
            </w:r>
          </w:p>
          <w:p w:rsidR="0080056B" w:rsidRDefault="0080056B" w:rsidP="00871462"/>
        </w:tc>
        <w:tc>
          <w:tcPr>
            <w:tcW w:w="2336" w:type="dxa"/>
          </w:tcPr>
          <w:p w:rsidR="0080056B" w:rsidRDefault="0080056B" w:rsidP="00871462">
            <w:r>
              <w:t>P.24</w:t>
            </w:r>
          </w:p>
        </w:tc>
        <w:tc>
          <w:tcPr>
            <w:tcW w:w="2336" w:type="dxa"/>
          </w:tcPr>
          <w:p w:rsidR="0080056B" w:rsidRDefault="001968FB" w:rsidP="00871462">
            <w:r>
              <w:t>1</w:t>
            </w:r>
          </w:p>
        </w:tc>
      </w:tr>
      <w:tr w:rsidR="0080056B" w:rsidTr="007A6C49">
        <w:tc>
          <w:tcPr>
            <w:tcW w:w="2336" w:type="dxa"/>
          </w:tcPr>
          <w:p w:rsidR="0080056B" w:rsidRDefault="0080056B" w:rsidP="00871462">
            <w:pPr>
              <w:rPr>
                <w:rFonts w:ascii="ArialMT" w:hAnsi="ArialMT" w:cs="ArialMT"/>
                <w:sz w:val="18"/>
                <w:szCs w:val="18"/>
              </w:rPr>
            </w:pPr>
            <w:r>
              <w:rPr>
                <w:rFonts w:ascii="ArialMT" w:hAnsi="ArialMT" w:cs="ArialMT"/>
                <w:sz w:val="18"/>
                <w:szCs w:val="18"/>
              </w:rPr>
              <w:t>I</w:t>
            </w:r>
            <w:r>
              <w:rPr>
                <w:rFonts w:ascii="ArialMT" w:hAnsi="ArialMT" w:cs="ArialMT"/>
                <w:sz w:val="18"/>
                <w:szCs w:val="18"/>
              </w:rPr>
              <w:t>2SR</w:t>
            </w:r>
            <w:r>
              <w:rPr>
                <w:rFonts w:ascii="ArialMT" w:hAnsi="ArialMT" w:cs="ArialMT"/>
                <w:sz w:val="18"/>
                <w:szCs w:val="18"/>
              </w:rPr>
              <w:t>X_SDA</w:t>
            </w:r>
          </w:p>
          <w:p w:rsidR="0080056B" w:rsidRDefault="0080056B" w:rsidP="00871462">
            <w:pPr>
              <w:rPr>
                <w:rFonts w:ascii="ArialMT" w:hAnsi="ArialMT" w:cs="ArialMT"/>
                <w:sz w:val="18"/>
                <w:szCs w:val="18"/>
              </w:rPr>
            </w:pPr>
          </w:p>
        </w:tc>
        <w:tc>
          <w:tcPr>
            <w:tcW w:w="2336" w:type="dxa"/>
          </w:tcPr>
          <w:p w:rsidR="0080056B" w:rsidRDefault="0080056B" w:rsidP="00871462">
            <w:r>
              <w:t>P.25</w:t>
            </w:r>
          </w:p>
        </w:tc>
        <w:tc>
          <w:tcPr>
            <w:tcW w:w="2336" w:type="dxa"/>
          </w:tcPr>
          <w:p w:rsidR="0080056B" w:rsidRDefault="00ED0AE9" w:rsidP="00871462">
            <w:r>
              <w:t>2</w:t>
            </w:r>
          </w:p>
        </w:tc>
      </w:tr>
      <w:tr w:rsidR="0080056B" w:rsidTr="007A6C49">
        <w:tc>
          <w:tcPr>
            <w:tcW w:w="2336" w:type="dxa"/>
          </w:tcPr>
          <w:p w:rsidR="0080056B" w:rsidRDefault="0080056B" w:rsidP="00871462">
            <w:pPr>
              <w:rPr>
                <w:rFonts w:ascii="ArialMT" w:hAnsi="ArialMT" w:cs="ArialMT"/>
                <w:sz w:val="18"/>
                <w:szCs w:val="18"/>
              </w:rPr>
            </w:pPr>
          </w:p>
        </w:tc>
        <w:tc>
          <w:tcPr>
            <w:tcW w:w="2336" w:type="dxa"/>
          </w:tcPr>
          <w:p w:rsidR="0080056B" w:rsidRDefault="0080056B" w:rsidP="00871462"/>
        </w:tc>
        <w:tc>
          <w:tcPr>
            <w:tcW w:w="2336" w:type="dxa"/>
          </w:tcPr>
          <w:p w:rsidR="0080056B" w:rsidRDefault="0080056B" w:rsidP="00871462"/>
        </w:tc>
      </w:tr>
    </w:tbl>
    <w:p w:rsidR="00871462" w:rsidRDefault="00C76769" w:rsidP="00871462">
      <w:r w:rsidRPr="00C76769">
        <w:drawing>
          <wp:anchor distT="0" distB="0" distL="114300" distR="114300" simplePos="0" relativeHeight="251658240" behindDoc="0" locked="0" layoutInCell="1" allowOverlap="1">
            <wp:simplePos x="0" y="0"/>
            <wp:positionH relativeFrom="page">
              <wp:align>center</wp:align>
            </wp:positionH>
            <wp:positionV relativeFrom="paragraph">
              <wp:posOffset>311150</wp:posOffset>
            </wp:positionV>
            <wp:extent cx="5936475" cy="3449444"/>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36475" cy="3449444"/>
                    </a:xfrm>
                    <a:prstGeom prst="rect">
                      <a:avLst/>
                    </a:prstGeom>
                  </pic:spPr>
                </pic:pic>
              </a:graphicData>
            </a:graphic>
            <wp14:sizeRelH relativeFrom="page">
              <wp14:pctWidth>0</wp14:pctWidth>
            </wp14:sizeRelH>
            <wp14:sizeRelV relativeFrom="page">
              <wp14:pctHeight>0</wp14:pctHeight>
            </wp14:sizeRelV>
          </wp:anchor>
        </w:drawing>
      </w:r>
    </w:p>
    <w:p w:rsidR="00871462" w:rsidRDefault="00871462" w:rsidP="00871462"/>
    <w:p w:rsidR="00871462" w:rsidRDefault="00871462" w:rsidP="00871462"/>
    <w:p w:rsidR="00871462" w:rsidRDefault="00871462" w:rsidP="00871462">
      <w:bookmarkStart w:id="0" w:name="_GoBack"/>
      <w:bookmarkEnd w:id="0"/>
    </w:p>
    <w:p w:rsidR="0015718A" w:rsidRDefault="0007006D">
      <w:pPr>
        <w:pStyle w:val="Heading2"/>
      </w:pPr>
      <w:r>
        <w:t>B</w:t>
      </w:r>
      <w:r>
        <w:t>ilan de la mémoire</w:t>
      </w:r>
    </w:p>
    <w:p w:rsidR="0015718A" w:rsidRDefault="0007006D">
      <w:pPr>
        <w:jc w:val="both"/>
      </w:pPr>
      <w:r>
        <w:t>Après avoir testé plusieurs méthodes d’échantillonnage/stockages nous avons décidé de stocker les sons de tous les instruments pour chaque note en brute dans la mémoire. Le seul traitement du s</w:t>
      </w:r>
      <w:r>
        <w:t xml:space="preserve">ignal qui sera à opérer concernera les effets appliqué au notes. </w:t>
      </w:r>
    </w:p>
    <w:p w:rsidR="0015718A" w:rsidRDefault="0007006D">
      <w:pPr>
        <w:jc w:val="both"/>
      </w:pPr>
      <w:r>
        <w:t>Monsieur Bras nous a fournit une mémoire de 16 Mo. Suite à nos essais nous avons déterminé que pour stocker toutes les 14 notes (soit 2 octaves) pour chacun des 4 instruments il nous faut 11</w:t>
      </w:r>
      <w:r>
        <w:t xml:space="preserve"> Mo d’espace mémoire. </w:t>
      </w:r>
    </w:p>
    <w:p w:rsidR="0015718A" w:rsidRDefault="0007006D">
      <w:pPr>
        <w:jc w:val="both"/>
      </w:pPr>
      <w:r>
        <w:t>Nous avons, sur la carte, une SRAM de 16 ou 32 Ko. Le but pour les buffers est de ne pas dépasser la moitier de la capacité de la SRAM.</w:t>
      </w:r>
    </w:p>
    <w:p w:rsidR="0015718A" w:rsidRDefault="0007006D">
      <w:pPr>
        <w:jc w:val="both"/>
      </w:pPr>
      <w:r>
        <w:t>Moitier = 8 Ko,</w:t>
      </w:r>
    </w:p>
    <w:p w:rsidR="0015718A" w:rsidRDefault="0007006D">
      <w:pPr>
        <w:jc w:val="both"/>
      </w:pPr>
      <w:r>
        <w:t xml:space="preserve">4 buffers = 2 Ko par buffers </w:t>
      </w:r>
    </w:p>
    <w:p w:rsidR="0015718A" w:rsidRDefault="0015718A">
      <w:pPr>
        <w:jc w:val="both"/>
      </w:pPr>
    </w:p>
    <w:sectPr w:rsidR="0015718A">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06D" w:rsidRDefault="0007006D">
      <w:pPr>
        <w:spacing w:after="0" w:line="240" w:lineRule="auto"/>
      </w:pPr>
      <w:r>
        <w:separator/>
      </w:r>
    </w:p>
  </w:endnote>
  <w:endnote w:type="continuationSeparator" w:id="0">
    <w:p w:rsidR="0007006D" w:rsidRDefault="00070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06D" w:rsidRDefault="0007006D">
      <w:pPr>
        <w:spacing w:after="0" w:line="240" w:lineRule="auto"/>
      </w:pPr>
      <w:r>
        <w:separator/>
      </w:r>
    </w:p>
  </w:footnote>
  <w:footnote w:type="continuationSeparator" w:id="0">
    <w:p w:rsidR="0007006D" w:rsidRDefault="000700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6044E9"/>
    <w:multiLevelType w:val="hybridMultilevel"/>
    <w:tmpl w:val="E6A29C26"/>
    <w:lvl w:ilvl="0" w:tplc="F8C0AB1A">
      <w:start w:val="1"/>
      <w:numFmt w:val="bullet"/>
      <w:lvlText w:val="·"/>
      <w:lvlJc w:val="left"/>
      <w:pPr>
        <w:ind w:left="709" w:hanging="360"/>
      </w:pPr>
      <w:rPr>
        <w:rFonts w:ascii="Symbol" w:eastAsia="Symbol" w:hAnsi="Symbol" w:cs="Symbol" w:hint="default"/>
      </w:rPr>
    </w:lvl>
    <w:lvl w:ilvl="1" w:tplc="78E6AA9A">
      <w:start w:val="1"/>
      <w:numFmt w:val="bullet"/>
      <w:lvlText w:val="o"/>
      <w:lvlJc w:val="left"/>
      <w:pPr>
        <w:ind w:left="1429" w:hanging="360"/>
      </w:pPr>
      <w:rPr>
        <w:rFonts w:ascii="Courier New" w:eastAsia="Courier New" w:hAnsi="Courier New" w:cs="Courier New" w:hint="default"/>
      </w:rPr>
    </w:lvl>
    <w:lvl w:ilvl="2" w:tplc="3FB45E76">
      <w:start w:val="1"/>
      <w:numFmt w:val="bullet"/>
      <w:lvlText w:val="§"/>
      <w:lvlJc w:val="left"/>
      <w:pPr>
        <w:ind w:left="2149" w:hanging="360"/>
      </w:pPr>
      <w:rPr>
        <w:rFonts w:ascii="Wingdings" w:eastAsia="Wingdings" w:hAnsi="Wingdings" w:cs="Wingdings" w:hint="default"/>
      </w:rPr>
    </w:lvl>
    <w:lvl w:ilvl="3" w:tplc="4DEEF87A">
      <w:start w:val="1"/>
      <w:numFmt w:val="bullet"/>
      <w:lvlText w:val="·"/>
      <w:lvlJc w:val="left"/>
      <w:pPr>
        <w:ind w:left="2869" w:hanging="360"/>
      </w:pPr>
      <w:rPr>
        <w:rFonts w:ascii="Symbol" w:eastAsia="Symbol" w:hAnsi="Symbol" w:cs="Symbol" w:hint="default"/>
      </w:rPr>
    </w:lvl>
    <w:lvl w:ilvl="4" w:tplc="02B6392A">
      <w:start w:val="1"/>
      <w:numFmt w:val="bullet"/>
      <w:lvlText w:val="o"/>
      <w:lvlJc w:val="left"/>
      <w:pPr>
        <w:ind w:left="3589" w:hanging="360"/>
      </w:pPr>
      <w:rPr>
        <w:rFonts w:ascii="Courier New" w:eastAsia="Courier New" w:hAnsi="Courier New" w:cs="Courier New" w:hint="default"/>
      </w:rPr>
    </w:lvl>
    <w:lvl w:ilvl="5" w:tplc="4B8471BA">
      <w:start w:val="1"/>
      <w:numFmt w:val="bullet"/>
      <w:lvlText w:val="§"/>
      <w:lvlJc w:val="left"/>
      <w:pPr>
        <w:ind w:left="4309" w:hanging="360"/>
      </w:pPr>
      <w:rPr>
        <w:rFonts w:ascii="Wingdings" w:eastAsia="Wingdings" w:hAnsi="Wingdings" w:cs="Wingdings" w:hint="default"/>
      </w:rPr>
    </w:lvl>
    <w:lvl w:ilvl="6" w:tplc="8A6E1B78">
      <w:start w:val="1"/>
      <w:numFmt w:val="bullet"/>
      <w:lvlText w:val="·"/>
      <w:lvlJc w:val="left"/>
      <w:pPr>
        <w:ind w:left="5029" w:hanging="360"/>
      </w:pPr>
      <w:rPr>
        <w:rFonts w:ascii="Symbol" w:eastAsia="Symbol" w:hAnsi="Symbol" w:cs="Symbol" w:hint="default"/>
      </w:rPr>
    </w:lvl>
    <w:lvl w:ilvl="7" w:tplc="3A3C86D0">
      <w:start w:val="1"/>
      <w:numFmt w:val="bullet"/>
      <w:lvlText w:val="o"/>
      <w:lvlJc w:val="left"/>
      <w:pPr>
        <w:ind w:left="5749" w:hanging="360"/>
      </w:pPr>
      <w:rPr>
        <w:rFonts w:ascii="Courier New" w:eastAsia="Courier New" w:hAnsi="Courier New" w:cs="Courier New" w:hint="default"/>
      </w:rPr>
    </w:lvl>
    <w:lvl w:ilvl="8" w:tplc="7EACF7F0">
      <w:start w:val="1"/>
      <w:numFmt w:val="bullet"/>
      <w:lvlText w:val="§"/>
      <w:lvlJc w:val="left"/>
      <w:pPr>
        <w:ind w:left="6469" w:hanging="360"/>
      </w:pPr>
      <w:rPr>
        <w:rFonts w:ascii="Wingdings" w:eastAsia="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18A"/>
    <w:rsid w:val="0007006D"/>
    <w:rsid w:val="000B545B"/>
    <w:rsid w:val="000E25B1"/>
    <w:rsid w:val="0015718A"/>
    <w:rsid w:val="001968FB"/>
    <w:rsid w:val="001D7AFE"/>
    <w:rsid w:val="00221728"/>
    <w:rsid w:val="002B123D"/>
    <w:rsid w:val="0040739F"/>
    <w:rsid w:val="004340E9"/>
    <w:rsid w:val="00500149"/>
    <w:rsid w:val="005244BC"/>
    <w:rsid w:val="005A0F49"/>
    <w:rsid w:val="005A2A90"/>
    <w:rsid w:val="00751658"/>
    <w:rsid w:val="007B5712"/>
    <w:rsid w:val="0080056B"/>
    <w:rsid w:val="00871462"/>
    <w:rsid w:val="008B1A89"/>
    <w:rsid w:val="00AF4221"/>
    <w:rsid w:val="00BD11C2"/>
    <w:rsid w:val="00C60B08"/>
    <w:rsid w:val="00C76769"/>
    <w:rsid w:val="00C92AD6"/>
    <w:rsid w:val="00EB6A82"/>
    <w:rsid w:val="00ED0AE9"/>
    <w:rsid w:val="00F06307"/>
    <w:rsid w:val="00F70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E47142-45CF-4ACD-AED0-4488E55A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fr-FR"/>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fr-FR"/>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446</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Chassis Brakes International</Company>
  <LinksUpToDate>false</LinksUpToDate>
  <CharactersWithSpaces>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 Mamadou</dc:creator>
  <cp:lastModifiedBy>Barry, Mamadou</cp:lastModifiedBy>
  <cp:revision>2</cp:revision>
  <dcterms:created xsi:type="dcterms:W3CDTF">2022-04-05T11:44:00Z</dcterms:created>
  <dcterms:modified xsi:type="dcterms:W3CDTF">2022-04-05T11:44:00Z</dcterms:modified>
</cp:coreProperties>
</file>