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Movie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Intro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Georges Melies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(1861 ~ 1938)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Magician -&gt; Direct artificial episodes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David Wark Griffith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Martin Scorsese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(1942 ~)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HUGO (2012) His first 3D Movie, About Georges Melies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Transition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History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WW: Euro -&gt; US (until 1909 over 10,000 coin theaters)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1930~1940 Hollywood “黄金时代”</w:t>
      </w:r>
    </w:p>
    <w:p>
      <w:pPr>
        <w:ind w:left="720" w:first-line="-720"/>
        <w:spacing w:after="24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Type Base: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主体思想、故事情节、人物类型、影片场景、电影技巧 (derived from Aristotle‘s 《诗学》）</w:t>
      </w:r>
    </w:p>
    <w:p>
      <w:pPr>
        <w:ind w:left="1440" w:first-line="-144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Classic Type Cat: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西部片、歌舞片、喜剧片、犯罪片（警匪）和 悬疑惊悚片、战争片</w:t>
      </w:r>
    </w:p>
    <w:p>
      <w:pPr>
        <w:ind w:left="1440" w:first-line="-144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Other Type Cat: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剧情片、科幻片、动作片、社会政治片、历史传记片、黑色电影、Hollywood 商业片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70s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50% classic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科幻、动作 riseup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80s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no classic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动作片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剧情片 + 动画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90s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no classic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almost no mono-cat except Forrest Gump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Hollywood Feature: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Huge investment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Direct or Actor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Hi-tech -&gt; costume scene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Prototype of Hollywood-Type:《乱世佳人》</w:t>
        <w:br/>
        <w:t xml:space="preserve"/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喜剧片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五大类型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滑稽、怪癖、讽刺、黑色、浪漫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滑稽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怪癖（1930s, 40s）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讽刺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针对社会、政治问题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黑色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针对人性中非理性因素、动物性表现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体现：仇恨、暴力、死亡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wild tales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浪漫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Roman Holiday (Audrey Hepburn)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喜剧冲突：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个人与社会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男人与女人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时代划分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默片时代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怪癖喜剧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两性喜剧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青少年成长喜剧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American Pie Series (1999, US) -&gt;《色即是空》(South Korea)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歌舞片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歌舞片 和 音乐片</w:t>
        <w:br/>
        <w:t xml:space="preserve">Title Name mostly derived from the most famous chapter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分类：音乐片（音乐为主）、歌舞片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诞生：1929「黑色星期五」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特征：童话、唯美、乐观主义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故事内容：「有情人终成眷属」和「美梦成真」，具有大团圆结局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「婚姻的赞歌」、「郎才女貌」两性关系的经典体现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主要因素：美好向上、积极乐观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起源：百老汇歌舞剧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《西区故事》(1961)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《音乐之声》(1965)[音乐片]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《贝隆夫人》(1996)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《芝加哥》(2002)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继承：歌剧和戏剧传统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结合：美国本土流行歌舞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早期歌舞剧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Original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吉恩·凯利 (Gene Kelly, 1912-1996)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e.g.《雨中曲》（歌舞片）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流行元素：爵士乐 和 踢踏舞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局限性: 夸张、内景（视觉单一）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Mid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豪华歌舞片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70～90 年代歌舞片 fade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《出水芙蓉》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Overall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《西区故事》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《音乐之声》(1965)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(Julie Andrews, 1935-)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克里斯托弗·普卢默 (Christopher Plummer, 1929-)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《贝隆夫人》（即《Evita》）（1996）（真实事例改编）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现代歌舞剧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复古歌舞片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《红磨坊》（2001）</w:t>
      </w:r>
    </w:p>
    <w:p>
      <w:pPr>
        <w:ind w:left="1440" w:first-line="-144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《芝加哥》（2002）</w:t>
        <w:br/>
        <w:t xml:space="preserve">工业城市 + 录音公司</w:t>
        <w:br/>
        <w:t xml:space="preserve">Jazz Center 1920s</w:t>
        <w:br/>
        <w:t xml:space="preserve"/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Catherine Zeta Jones (1969- 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Renee Zellweger (1969- 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Richard Gere (1949- )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传记歌舞片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《Ray》（2005）（Ray Charles 传记）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《Dream Girls》（2006）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典型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《歌舞青春》系列（2006～2008）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舞台剧改编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《Mamma Mia》（2008）（非原创音乐）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恐怖片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恐怖片 和 悬疑惊悚片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恐怖片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旨在引发观众生理上的厌恶、反感、作呕，通常有异常恐怖震惊的结尾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常与科幻片、神怪片、警匪片、动作片、战争片、惊险片登结合成复合性的恐怕片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《月球旅行记》（乔治 · 梅里爱）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《魔鬼的城堡》（1896）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悬疑惊悚片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悬疑惊悚片之父：阿尔弗雷德 · 希区柯克 (Alfred Hitchcock, 1899 - 1980)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1955-1962: Series 希区柯克剧场（268 episodes -&gt; 10 seasons）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区分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恐怖片：外在感官刺激（视觉 和 听觉）</w:t>
        <w:br/>
        <w:t xml:space="preserve">悬疑惊悚片：观众带入感，强调内在心理的紧张和参与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