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1CA9" w:rsidRDefault="00C31CA9">
      <w:pPr>
        <w:rPr>
          <w:lang w:val="en-US"/>
        </w:rPr>
      </w:pPr>
      <w:r>
        <w:rPr>
          <w:lang w:val="en-US"/>
        </w:rPr>
        <w:t>GET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/currencies</w:t>
      </w:r>
    </w:p>
    <w:p w:rsidR="007B7DEF" w:rsidRDefault="00C31CA9">
      <w:pPr>
        <w:rPr>
          <w:lang w:val="en-US"/>
        </w:rPr>
      </w:pPr>
      <w:r w:rsidRPr="00C31CA9">
        <w:rPr>
          <w:lang w:val="en-US"/>
        </w:rPr>
        <w:drawing>
          <wp:inline distT="0" distB="0" distL="0" distR="0" wp14:anchorId="00C9BCC9" wp14:editId="1104E05F">
            <wp:extent cx="5940425" cy="51727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CA9" w:rsidRDefault="00C31CA9">
      <w:pPr>
        <w:rPr>
          <w:lang w:val="en-US"/>
        </w:rPr>
      </w:pPr>
    </w:p>
    <w:p w:rsidR="00C31CA9" w:rsidRDefault="00C31CA9">
      <w:pPr>
        <w:rPr>
          <w:lang w:val="en-US"/>
        </w:rPr>
      </w:pPr>
      <w:r>
        <w:rPr>
          <w:lang w:val="en-US"/>
        </w:rPr>
        <w:lastRenderedPageBreak/>
        <w:t>GET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/rates</w:t>
      </w:r>
      <w:r>
        <w:rPr>
          <w:lang w:val="en-US"/>
        </w:rPr>
        <w:br/>
      </w:r>
      <w:r w:rsidRPr="00C31CA9">
        <w:rPr>
          <w:lang w:val="en-US"/>
        </w:rPr>
        <w:drawing>
          <wp:inline distT="0" distB="0" distL="0" distR="0" wp14:anchorId="25F4BCB4" wp14:editId="46CAC0AC">
            <wp:extent cx="5940425" cy="42246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CA9" w:rsidRDefault="00C31CA9">
      <w:pPr>
        <w:rPr>
          <w:lang w:val="en-US"/>
        </w:rPr>
      </w:pPr>
      <w:r>
        <w:rPr>
          <w:lang w:val="en-US"/>
        </w:rPr>
        <w:t>GET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/user</w:t>
      </w:r>
      <w:r w:rsidRPr="00C31CA9">
        <w:rPr>
          <w:lang w:val="en-US"/>
        </w:rPr>
        <w:drawing>
          <wp:inline distT="0" distB="0" distL="0" distR="0" wp14:anchorId="1F4C3D94" wp14:editId="1E827F4B">
            <wp:extent cx="5940425" cy="40773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CA9" w:rsidRDefault="00C31CA9">
      <w:pPr>
        <w:rPr>
          <w:lang w:val="en-US"/>
        </w:rPr>
      </w:pPr>
    </w:p>
    <w:p w:rsidR="00C31CA9" w:rsidRDefault="00C31CA9">
      <w:pPr>
        <w:rPr>
          <w:lang w:val="en-US"/>
        </w:rPr>
      </w:pPr>
      <w:r>
        <w:rPr>
          <w:lang w:val="en-US"/>
        </w:rPr>
        <w:lastRenderedPageBreak/>
        <w:t>POST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r w:rsidR="005A103C">
        <w:rPr>
          <w:lang w:val="en-US"/>
        </w:rPr>
        <w:t>user</w:t>
      </w:r>
    </w:p>
    <w:p w:rsidR="005A103C" w:rsidRDefault="005A103C">
      <w:pPr>
        <w:rPr>
          <w:lang w:val="en-US"/>
        </w:rPr>
      </w:pPr>
      <w:r w:rsidRPr="005A103C">
        <w:rPr>
          <w:lang w:val="en-US"/>
        </w:rPr>
        <w:drawing>
          <wp:inline distT="0" distB="0" distL="0" distR="0" wp14:anchorId="258D5174" wp14:editId="0D7F9D30">
            <wp:extent cx="5940425" cy="44907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31CA9" w:rsidRDefault="00C31CA9">
      <w:pPr>
        <w:rPr>
          <w:lang w:val="en-US"/>
        </w:rPr>
      </w:pPr>
    </w:p>
    <w:p w:rsidR="00C31CA9" w:rsidRPr="00C31CA9" w:rsidRDefault="00C31CA9">
      <w:pPr>
        <w:rPr>
          <w:lang w:val="en-US"/>
        </w:rPr>
      </w:pPr>
    </w:p>
    <w:sectPr w:rsidR="00C31CA9" w:rsidRPr="00C31C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034"/>
    <w:rsid w:val="005A103C"/>
    <w:rsid w:val="00726FB9"/>
    <w:rsid w:val="007B7DEF"/>
    <w:rsid w:val="00C31CA9"/>
    <w:rsid w:val="00DB2034"/>
    <w:rsid w:val="00FF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E8B2F"/>
  <w15:chartTrackingRefBased/>
  <w15:docId w15:val="{3D2504FE-C1FE-46D0-80F8-4376B8EBE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3</cp:revision>
  <dcterms:created xsi:type="dcterms:W3CDTF">2026-02-01T14:19:00Z</dcterms:created>
  <dcterms:modified xsi:type="dcterms:W3CDTF">2026-02-01T14:32:00Z</dcterms:modified>
</cp:coreProperties>
</file>