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heading=h.cdtoozlkx75q" w:id="0"/>
      <w:bookmarkEnd w:id="0"/>
      <w:r w:rsidDel="00000000" w:rsidR="00000000" w:rsidRPr="00000000">
        <w:rPr>
          <w:rtl w:val="0"/>
        </w:rPr>
        <w:t xml:space="preserve">Análisis del caso: Sistema Predictivo para el Diagnóstico Temprano de Cáncer</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Arial" w:cs="Arial" w:eastAsia="Arial" w:hAnsi="Arial"/>
          <w:b w:val="0"/>
          <w:bCs w:val="0"/>
          <w:i w:val="0"/>
          <w:iCs w:val="0"/>
          <w:smallCaps w:val="0"/>
          <w:strike w:val="0"/>
          <w:color w:val="2f549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f5496"/>
          <w:sz w:val="32"/>
          <w:szCs w:val="32"/>
          <w:u w:val="none"/>
          <w:shd w:fill="auto" w:val="clear"/>
          <w:vertAlign w:val="baseline"/>
          <w:rtl w:val="0"/>
        </w:rPr>
        <w:t xml:space="preserve">Contenido</w:t>
      </w:r>
    </w:p>
    <w:sdt>
      <w:sdtPr>
        <w:id w:val="1869158305"/>
        <w:docPartObj>
          <w:docPartGallery w:val="Table of Contents"/>
          <w:docPartUnique w:val="1"/>
        </w:docPartObj>
      </w:sdtPr>
      <w:sdtContent>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dtoozlkx75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Análisis del caso: Sistema Predictivo para el Diagnóstico Temprano de Cáncer</w:t>
              <w:tab/>
              <w:t xml:space="preserve">1</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2brqk4s7i7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Información del documento</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i931pfjfo0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tab/>
              <w:t xml:space="preserve">Contexto y antecedentes</w:t>
              <w:tab/>
              <w:t xml:space="preserve">3</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bkcoz50ns7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tab/>
              <w:t xml:space="preserve">Planteamiento del problema</w:t>
              <w:tab/>
              <w:t xml:space="preserve">4</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izn957tu6b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tab/>
              <w:t xml:space="preserve">Propuesta de valor (solución)</w:t>
              <w:tab/>
              <w:t xml:space="preserve">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6u8ce1129q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tab/>
              <w:t xml:space="preserve">Impacto esperado y beneficiarios</w:t>
              <w:tab/>
              <w:t xml:space="preserve">5</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fw15nwxlbp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tab/>
              <w:t xml:space="preserve">Alcance tecnológico y datos</w:t>
              <w:tab/>
              <w:t xml:space="preserve">5</w:t>
            </w:r>
          </w:hyperlink>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u w:val="single"/>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pStyle w:val="Heading2"/>
        <w:ind w:left="720" w:firstLine="0"/>
        <w:jc w:val="both"/>
        <w:rPr/>
      </w:pPr>
      <w:bookmarkStart w:colFirst="0" w:colLast="0" w:name="_heading=h.p2brqk4s7i7o" w:id="1"/>
      <w:bookmarkEnd w:id="1"/>
      <w:r w:rsidDel="00000000" w:rsidR="00000000" w:rsidRPr="00000000">
        <w:rPr>
          <w:rtl w:val="0"/>
        </w:rPr>
        <w:t xml:space="preserve">Información del documento </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1080" w:right="0" w:hanging="360"/>
        <w:jc w:val="both"/>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del Proyecto: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Sistema Predictivo de Diagnóstico Temprano de Cáncer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Asignatura: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Capstone 001D (Proyecto APT)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Diego Alberto Garces Miranda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Integrantes: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Anthony Andrés Alarcón Zapata</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Felipe Ignacio Calhueque Irribarra</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Giovani German Muñoz Rodríguez</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40" w:lineRule="auto"/>
        <w:ind w:left="1080" w:right="0" w:hanging="360"/>
        <w:jc w:val="both"/>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Fecha de creación: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24 de agosto de 2026</w:t>
      </w:r>
    </w:p>
    <w:p w:rsidR="00000000" w:rsidDel="00000000" w:rsidP="00000000" w:rsidRDefault="00000000" w:rsidRPr="00000000" w14:paraId="0000002D">
      <w:pPr>
        <w:spacing w:after="280" w:before="28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spacing w:after="280" w:before="28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spacing w:after="280" w:before="28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spacing w:after="280" w:before="28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spacing w:after="280" w:before="28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spacing w:after="280" w:before="28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spacing w:after="280" w:before="28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spacing w:after="280" w:before="28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spacing w:after="280" w:before="28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spacing w:after="280" w:before="28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pacing w:after="280" w:before="28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spacing w:after="280" w:before="28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pStyle w:val="Heading2"/>
        <w:numPr>
          <w:ilvl w:val="0"/>
          <w:numId w:val="1"/>
        </w:numPr>
        <w:ind w:left="720" w:hanging="360"/>
        <w:jc w:val="both"/>
        <w:rPr/>
      </w:pPr>
      <w:bookmarkStart w:colFirst="0" w:colLast="0" w:name="_heading=h.pi931pfjfo0g" w:id="2"/>
      <w:bookmarkEnd w:id="2"/>
      <w:r w:rsidDel="00000000" w:rsidR="00000000" w:rsidRPr="00000000">
        <w:rPr>
          <w:rtl w:val="0"/>
        </w:rPr>
        <w:t xml:space="preserve">Contexto y antecedentes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cáncer representa uno de los mayores desafíos para la salud pública contemporánea, consolidándose como la segunda causa de muerte tanto en Chile como a nivel mundial. La progresión de esta enfermedad implica la invasión de órganos vitales, lo que en etapas avanzadas reduce drásticamente las opciones terapéuticas y la tasa de supervivencia de los pacientes.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Históricamente, el diagnóstico oncológico ha dependido de evaluaciones sintomatológicas tardías y exámenes reactivos. Sin embargo, los avances recientes en la ciencia de datos han demostrado que el diagnóstico temprano es el factor más determinante para mejorar la expectativa y calidad de vida de los afectados. En este escenario, la aplicación de algoritmos de Machine Learning (ML) emerge como una herramienta clínica de apoyo fundamental, capaz de identificar patrones ocultos y factores de riesgo antes de que la enfermedad se </w:t>
      </w:r>
      <w:r w:rsidDel="00000000" w:rsidR="00000000" w:rsidRPr="00000000">
        <w:rPr>
          <w:rFonts w:ascii="Arial" w:cs="Arial" w:eastAsia="Arial" w:hAnsi="Arial"/>
          <w:sz w:val="24"/>
          <w:szCs w:val="24"/>
          <w:rtl w:val="0"/>
        </w:rPr>
        <w:t xml:space="preserve">manifiesta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sintomáticamente.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numPr>
          <w:ilvl w:val="0"/>
          <w:numId w:val="1"/>
        </w:numPr>
        <w:ind w:left="720" w:hanging="360"/>
        <w:jc w:val="both"/>
        <w:rPr/>
      </w:pPr>
      <w:bookmarkStart w:colFirst="0" w:colLast="0" w:name="_heading=h.ubkcoz50ns7b" w:id="3"/>
      <w:bookmarkEnd w:id="3"/>
      <w:r w:rsidDel="00000000" w:rsidR="00000000" w:rsidRPr="00000000">
        <w:rPr>
          <w:rtl w:val="0"/>
        </w:rPr>
        <w:t xml:space="preserve">Planteamiento del problema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problema central radica en la detección tardía de patologías oncológicas debido a la limitación en la capacidad de procesar y cruzar múltiples variables clínicas, demográficas y ambientales de manera rápida y masiva en la atención primaria de salud.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Actualmente, el personal médico enfrenta el desafío de analizar volúmenes crecientes de datos de pacientes con herramientas tradicionales, lo que dificulta la predicción temprana del riesgo oncológico. La falta de sistemas de apoyo a la toma de decisiones basados en inteligencia artificial retrasa intervenciones preventivas, aumentando tanto la mortalidad como los costos asociados a tratamientos de alta complejidad en fases avanzadas de la enfermedad.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2"/>
        <w:numPr>
          <w:ilvl w:val="0"/>
          <w:numId w:val="1"/>
        </w:numPr>
        <w:ind w:left="720" w:hanging="360"/>
        <w:jc w:val="both"/>
        <w:rPr/>
      </w:pPr>
      <w:bookmarkStart w:colFirst="0" w:colLast="0" w:name="_heading=h.bizn957tu6b3" w:id="4"/>
      <w:bookmarkEnd w:id="4"/>
      <w:r w:rsidDel="00000000" w:rsidR="00000000" w:rsidRPr="00000000">
        <w:rPr>
          <w:rtl w:val="0"/>
        </w:rPr>
        <w:t xml:space="preserve">Propuesta de valor (solución)</w:t>
      </w:r>
    </w:p>
    <w:p w:rsidR="00000000" w:rsidDel="00000000" w:rsidP="00000000" w:rsidRDefault="00000000" w:rsidRPr="00000000" w14:paraId="00000046">
      <w:pPr>
        <w:spacing w:after="280" w:before="2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solución propuesta consiste en el diseño, desarrollo e implementación de un Sistema Predictivo de Diagnóstico Temprano de Cáncer. Esta plataforma tecnológica integrará modelos de Machine Learning para evaluar datos físicos, clínicos y ambientales de los pacientes, entregando una clasificación de riesgo precisa e identificando los factores desencadenantes más críticos.</w:t>
      </w:r>
    </w:p>
    <w:p w:rsidR="00000000" w:rsidDel="00000000" w:rsidP="00000000" w:rsidRDefault="00000000" w:rsidRPr="00000000" w14:paraId="00000047">
      <w:pPr>
        <w:spacing w:after="280" w:before="2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se caracterizará por:</w:t>
      </w:r>
    </w:p>
    <w:p w:rsidR="00000000" w:rsidDel="00000000" w:rsidP="00000000" w:rsidRDefault="00000000" w:rsidRPr="00000000" w14:paraId="00000048">
      <w:pPr>
        <w:numPr>
          <w:ilvl w:val="0"/>
          <w:numId w:val="2"/>
        </w:numPr>
        <w:spacing w:after="0" w:before="280" w:line="240" w:lineRule="auto"/>
        <w:ind w:left="720" w:hanging="360"/>
        <w:jc w:val="both"/>
        <w:rPr/>
      </w:pPr>
      <w:r w:rsidDel="00000000" w:rsidR="00000000" w:rsidRPr="00000000">
        <w:rPr>
          <w:rFonts w:ascii="Arial" w:cs="Arial" w:eastAsia="Arial" w:hAnsi="Arial"/>
          <w:b w:val="1"/>
          <w:bCs w:val="1"/>
          <w:sz w:val="24"/>
          <w:szCs w:val="24"/>
          <w:rtl w:val="0"/>
        </w:rPr>
        <w:t xml:space="preserve">Evaluación Algorítmica:</w:t>
      </w:r>
      <w:r w:rsidDel="00000000" w:rsidR="00000000" w:rsidRPr="00000000">
        <w:rPr>
          <w:rFonts w:ascii="Arial" w:cs="Arial" w:eastAsia="Arial" w:hAnsi="Arial"/>
          <w:sz w:val="24"/>
          <w:szCs w:val="24"/>
          <w:rtl w:val="0"/>
        </w:rPr>
        <w:t xml:space="preserve"> Comparación de al menos tres algoritmos predictivos distintos para asegurar el máximo rendimiento (Accuracy, Precision, Recall).</w:t>
      </w:r>
    </w:p>
    <w:p w:rsidR="00000000" w:rsidDel="00000000" w:rsidP="00000000" w:rsidRDefault="00000000" w:rsidRPr="00000000" w14:paraId="00000049">
      <w:pPr>
        <w:numPr>
          <w:ilvl w:val="0"/>
          <w:numId w:val="2"/>
        </w:numPr>
        <w:spacing w:after="0" w:before="0" w:line="240" w:lineRule="auto"/>
        <w:ind w:left="720" w:hanging="360"/>
        <w:jc w:val="both"/>
        <w:rPr/>
      </w:pPr>
      <w:r w:rsidDel="00000000" w:rsidR="00000000" w:rsidRPr="00000000">
        <w:rPr>
          <w:rFonts w:ascii="Arial" w:cs="Arial" w:eastAsia="Arial" w:hAnsi="Arial"/>
          <w:b w:val="1"/>
          <w:bCs w:val="1"/>
          <w:sz w:val="24"/>
          <w:szCs w:val="24"/>
          <w:rtl w:val="0"/>
        </w:rPr>
        <w:t xml:space="preserve">Interfaz Clínica:</w:t>
      </w:r>
      <w:r w:rsidDel="00000000" w:rsidR="00000000" w:rsidRPr="00000000">
        <w:rPr>
          <w:rFonts w:ascii="Arial" w:cs="Arial" w:eastAsia="Arial" w:hAnsi="Arial"/>
          <w:sz w:val="24"/>
          <w:szCs w:val="24"/>
          <w:rtl w:val="0"/>
        </w:rPr>
        <w:t xml:space="preserve"> Una GUI (Interfaz Gráfica de Usuario) con altos estándares de usabilidad, diseñada específicamente para usuarios del sector salud sin formación informática avanzada.</w:t>
      </w:r>
    </w:p>
    <w:p w:rsidR="00000000" w:rsidDel="00000000" w:rsidP="00000000" w:rsidRDefault="00000000" w:rsidRPr="00000000" w14:paraId="0000004A">
      <w:pPr>
        <w:numPr>
          <w:ilvl w:val="0"/>
          <w:numId w:val="2"/>
        </w:numPr>
        <w:spacing w:after="280" w:before="0" w:line="240" w:lineRule="auto"/>
        <w:ind w:left="720" w:hanging="360"/>
        <w:jc w:val="both"/>
        <w:rPr/>
      </w:pPr>
      <w:r w:rsidDel="00000000" w:rsidR="00000000" w:rsidRPr="00000000">
        <w:rPr>
          <w:rFonts w:ascii="Arial" w:cs="Arial" w:eastAsia="Arial" w:hAnsi="Arial"/>
          <w:b w:val="1"/>
          <w:bCs w:val="1"/>
          <w:sz w:val="24"/>
          <w:szCs w:val="24"/>
          <w:rtl w:val="0"/>
        </w:rPr>
        <w:t xml:space="preserve">Inteligencia de Negocios (BI):</w:t>
      </w:r>
      <w:r w:rsidDel="00000000" w:rsidR="00000000" w:rsidRPr="00000000">
        <w:rPr>
          <w:rFonts w:ascii="Arial" w:cs="Arial" w:eastAsia="Arial" w:hAnsi="Arial"/>
          <w:sz w:val="24"/>
          <w:szCs w:val="24"/>
          <w:rtl w:val="0"/>
        </w:rPr>
        <w:t xml:space="preserve"> Integración de tableros interactivos (Power BI) que respondan a interrogantes críticas del negocio y permitan la visualización de datos poblacionales y de riesgo.</w:t>
      </w:r>
    </w:p>
    <w:p w:rsidR="00000000" w:rsidDel="00000000" w:rsidP="00000000" w:rsidRDefault="00000000" w:rsidRPr="00000000" w14:paraId="0000004B">
      <w:pPr>
        <w:spacing w:after="280" w:before="280" w:line="24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pStyle w:val="Heading2"/>
        <w:numPr>
          <w:ilvl w:val="0"/>
          <w:numId w:val="1"/>
        </w:numPr>
        <w:ind w:left="720" w:hanging="360"/>
        <w:jc w:val="both"/>
        <w:rPr/>
      </w:pPr>
      <w:bookmarkStart w:colFirst="0" w:colLast="0" w:name="_heading=h.q6u8ce1129q7" w:id="5"/>
      <w:bookmarkEnd w:id="5"/>
      <w:r w:rsidDel="00000000" w:rsidR="00000000" w:rsidRPr="00000000">
        <w:rPr>
          <w:rtl w:val="0"/>
        </w:rPr>
        <w:t xml:space="preserve">Impacto esperado y beneficiarios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implementación de este proyecto generará un impacto directo en diferentes niveles:</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Pacientes: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Aumento en la probabilidad de supervivencia y calidad de vida gracias a intervenciones médicas preventivas o en estadios iniciales.</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Personal de Salud (Médicos):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Reducción de la carga cognitiva e incertidumbre diagnóstica al contar con una herramienta predictiva de "segunda opinión" respaldada por datos.</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Sistema de Salud / Instituciones: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Optimización de recursos y reducción de costos al priorizar estudios complejos solo en poblaciones clasificadas </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de alto riesgo por el algoritmo.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2"/>
        <w:numPr>
          <w:ilvl w:val="0"/>
          <w:numId w:val="1"/>
        </w:numPr>
        <w:ind w:left="720" w:hanging="360"/>
        <w:jc w:val="both"/>
        <w:rPr/>
      </w:pPr>
      <w:bookmarkStart w:colFirst="0" w:colLast="0" w:name="_heading=h.pfw15nwxlbpz" w:id="6"/>
      <w:bookmarkEnd w:id="6"/>
      <w:r w:rsidDel="00000000" w:rsidR="00000000" w:rsidRPr="00000000">
        <w:rPr>
          <w:rtl w:val="0"/>
        </w:rPr>
        <w:t xml:space="preserve">Alcance tecnológico y datos </w:t>
      </w:r>
    </w:p>
    <w:p w:rsidR="00000000" w:rsidDel="00000000" w:rsidP="00000000" w:rsidRDefault="00000000" w:rsidRPr="00000000" w14:paraId="00000058">
      <w:pPr>
        <w:spacing w:after="280" w:before="2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abordará el ciclo de vida completo de los datos (CRISP-DM), desde la ingesta de bases de datos clínicas de prueba (datasets de código abierto) hasta el despliegue del modelo. Para acotar el alcance predictivo y garantizar la efectividad del modelo, el proyecto se enfocará específicamente en un tipo de cáncer </w:t>
      </w:r>
      <w:r w:rsidDel="00000000" w:rsidR="00000000" w:rsidRPr="00000000">
        <w:rPr>
          <w:rFonts w:ascii="Arial" w:cs="Arial" w:eastAsia="Arial" w:hAnsi="Arial"/>
          <w:i w:val="1"/>
          <w:iCs w:val="1"/>
          <w:sz w:val="24"/>
          <w:szCs w:val="24"/>
          <w:rtl w:val="0"/>
        </w:rPr>
        <w:t xml:space="preserve">(Aquí debes definir cuál elegirás, por ejemplo: Cáncer de Pulmón, Cáncer de Mama, etc.)</w:t>
      </w:r>
      <w:r w:rsidDel="00000000" w:rsidR="00000000" w:rsidRPr="00000000">
        <w:rPr>
          <w:rFonts w:ascii="Arial" w:cs="Arial" w:eastAsia="Arial" w:hAnsi="Arial"/>
          <w:sz w:val="24"/>
          <w:szCs w:val="24"/>
          <w:rtl w:val="0"/>
        </w:rPr>
        <w:t xml:space="preserve">, adaptando las variables de entrada y el entrenamiento de los algoritmos exclusivamente a esa patología.</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4472c4"/>
        <w:sz w:val="20"/>
        <w:szCs w:val="20"/>
        <w:u w:val="none"/>
        <w:shd w:fill="auto" w:val="clear"/>
        <w:vertAlign w:val="baseline"/>
        <w:rtl w:val="0"/>
      </w:rPr>
      <w:t xml:space="preserve">pág. </w:t>
    </w:r>
    <w:r w:rsidDel="00000000" w:rsidR="00000000" w:rsidRPr="00000000">
      <w:rPr>
        <w:rFonts w:ascii="Calibri" w:cs="Calibri" w:eastAsia="Calibri" w:hAnsi="Calibri"/>
        <w:b w:val="0"/>
        <w:bCs w:val="0"/>
        <w:i w:val="0"/>
        <w:iCs w:val="0"/>
        <w:smallCaps w:val="0"/>
        <w:strike w:val="0"/>
        <w:color w:val="4472c4"/>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-1088071</wp:posOffset>
              </wp:positionH>
              <wp:positionV relativeFrom="paragraph">
                <wp:posOffset>-7936</wp:posOffset>
              </wp:positionV>
              <wp:extent cx="7380605" cy="9544685"/>
              <wp:effectExtent b="0" l="0" r="0" t="0"/>
              <wp:wrapNone/>
              <wp:docPr id="453" name=""/>
              <a:graphic>
                <a:graphicData uri="http://schemas.microsoft.com/office/word/2010/wordprocessingShape">
                  <wps:wsp>
                    <wps:cNvSpPr/>
                    <wps:cNvPr id="2" name="Shape 2"/>
                    <wps:spPr>
                      <a:xfrm>
                        <a:off x="1663635" y="0"/>
                        <a:ext cx="7364730" cy="7560000"/>
                      </a:xfrm>
                      <a:prstGeom prst="rect">
                        <a:avLst/>
                      </a:prstGeom>
                      <a:noFill/>
                      <a:ln cap="flat" cmpd="sng" w="15875">
                        <a:solidFill>
                          <a:srgbClr val="75707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-1088071</wp:posOffset>
              </wp:positionH>
              <wp:positionV relativeFrom="paragraph">
                <wp:posOffset>-7936</wp:posOffset>
              </wp:positionV>
              <wp:extent cx="7380605" cy="9544685"/>
              <wp:effectExtent b="0" l="0" r="0" t="0"/>
              <wp:wrapNone/>
              <wp:docPr id="453"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380605" cy="954468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4743450</wp:posOffset>
          </wp:positionH>
          <wp:positionV relativeFrom="paragraph">
            <wp:posOffset>-114934</wp:posOffset>
          </wp:positionV>
          <wp:extent cx="1609725" cy="395783"/>
          <wp:effectExtent b="0" l="0" r="0" t="0"/>
          <wp:wrapNone/>
          <wp:docPr id="45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09725" cy="39578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0"/>
      <w:numFmt w:val="bullet"/>
      <w:lvlText w:val="-"/>
      <w:lvlJc w:val="left"/>
      <w:pPr>
        <w:ind w:left="1080" w:hanging="360"/>
      </w:pPr>
      <w:rPr>
        <w:rFonts w:ascii="Arial" w:cs="Arial" w:eastAsia="Arial" w:hAnsi="Arial"/>
        <w:b w:val="1"/>
        <w:bCs w:val="1"/>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o"/>
      <w:lvlJc w:val="left"/>
      <w:pPr>
        <w:ind w:left="1080" w:hanging="360"/>
      </w:pPr>
      <w:rPr>
        <w:rFonts w:ascii="Courier New" w:cs="Courier New" w:eastAsia="Courier New" w:hAnsi="Courier New"/>
        <w:b w:val="1"/>
        <w:bCs w:val="1"/>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Arial" w:cs="Arial" w:eastAsia="Arial" w:hAnsi="Arial"/>
      <w:color w:val="2f5496"/>
      <w:sz w:val="40"/>
      <w:szCs w:val="40"/>
    </w:rPr>
  </w:style>
  <w:style w:type="paragraph" w:styleId="Heading2">
    <w:name w:val="heading 2"/>
    <w:basedOn w:val="Normal"/>
    <w:next w:val="Normal"/>
    <w:pPr>
      <w:keepNext w:val="1"/>
      <w:keepLines w:val="1"/>
      <w:spacing w:after="0" w:before="40" w:lineRule="auto"/>
    </w:pPr>
    <w:rPr>
      <w:rFonts w:ascii="Arial" w:cs="Arial" w:eastAsia="Arial" w:hAnsi="Arial"/>
      <w:color w:val="2f5496"/>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C65690"/>
    <w:rPr>
      <w:rFonts w:ascii="Arial" w:hAnsi="Arial" w:cstheme="majorBidi" w:eastAsiaTheme="majorEastAsia"/>
      <w:color w:val="2f5496" w:themeColor="accent1" w:themeShade="0000BF"/>
      <w:sz w:val="40"/>
      <w:szCs w:val="32"/>
    </w:rPr>
  </w:style>
  <w:style w:type="character" w:styleId="Ttulo2Car" w:customStyle="1">
    <w:name w:val="Título 2 Car"/>
    <w:basedOn w:val="Fuentedeprrafopredeter"/>
    <w:link w:val="Ttulo2"/>
    <w:uiPriority w:val="9"/>
    <w:rsid w:val="00C65690"/>
    <w:rPr>
      <w:rFonts w:ascii="Arial" w:hAnsi="Arial" w:cstheme="majorBidi" w:eastAsiaTheme="majorEastAsia"/>
      <w:color w:val="2f5496" w:themeColor="accent1" w:themeShade="0000BF"/>
      <w:sz w:val="32"/>
      <w:szCs w:val="26"/>
    </w:rPr>
  </w:style>
  <w:style w:type="paragraph" w:styleId="NormalWeb">
    <w:name w:val="Normal (Web)"/>
    <w:basedOn w:val="Normal"/>
    <w:uiPriority w:val="99"/>
    <w:semiHidden w:val="1"/>
    <w:unhideWhenUsed w:val="1"/>
    <w:rsid w:val="00C65690"/>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Prrafodelista">
    <w:name w:val="List Paragraph"/>
    <w:basedOn w:val="Normal"/>
    <w:uiPriority w:val="34"/>
    <w:qFormat w:val="1"/>
    <w:rsid w:val="00424AD7"/>
    <w:pPr>
      <w:ind w:left="720"/>
      <w:contextualSpacing w:val="1"/>
    </w:pPr>
  </w:style>
  <w:style w:type="paragraph" w:styleId="TtuloTDC">
    <w:name w:val="TOC Heading"/>
    <w:basedOn w:val="Ttulo1"/>
    <w:next w:val="Normal"/>
    <w:uiPriority w:val="39"/>
    <w:unhideWhenUsed w:val="1"/>
    <w:qFormat w:val="1"/>
    <w:rsid w:val="00424AD7"/>
    <w:pPr>
      <w:outlineLvl w:val="9"/>
    </w:pPr>
    <w:rPr>
      <w:rFonts w:asciiTheme="majorHAnsi" w:hAnsiTheme="majorHAnsi"/>
      <w:sz w:val="32"/>
      <w:lang w:eastAsia="es-CL"/>
    </w:rPr>
  </w:style>
  <w:style w:type="paragraph" w:styleId="TDC1">
    <w:name w:val="toc 1"/>
    <w:basedOn w:val="Normal"/>
    <w:next w:val="Normal"/>
    <w:autoRedefine w:val="1"/>
    <w:uiPriority w:val="39"/>
    <w:unhideWhenUsed w:val="1"/>
    <w:rsid w:val="00424AD7"/>
    <w:pPr>
      <w:spacing w:after="100"/>
    </w:pPr>
  </w:style>
  <w:style w:type="paragraph" w:styleId="TDC2">
    <w:name w:val="toc 2"/>
    <w:basedOn w:val="Normal"/>
    <w:next w:val="Normal"/>
    <w:autoRedefine w:val="1"/>
    <w:uiPriority w:val="39"/>
    <w:unhideWhenUsed w:val="1"/>
    <w:rsid w:val="00424AD7"/>
    <w:pPr>
      <w:spacing w:after="100"/>
      <w:ind w:left="220"/>
    </w:pPr>
  </w:style>
  <w:style w:type="character" w:styleId="Hipervnculo">
    <w:name w:val="Hyperlink"/>
    <w:basedOn w:val="Fuentedeprrafopredeter"/>
    <w:uiPriority w:val="99"/>
    <w:unhideWhenUsed w:val="1"/>
    <w:rsid w:val="00424AD7"/>
    <w:rPr>
      <w:color w:val="0563c1" w:themeColor="hyperlink"/>
      <w:u w:val="single"/>
    </w:rPr>
  </w:style>
  <w:style w:type="paragraph" w:styleId="Encabezado">
    <w:name w:val="header"/>
    <w:basedOn w:val="Normal"/>
    <w:link w:val="EncabezadoCar"/>
    <w:uiPriority w:val="99"/>
    <w:unhideWhenUsed w:val="1"/>
    <w:rsid w:val="00424AD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24AD7"/>
  </w:style>
  <w:style w:type="paragraph" w:styleId="Piedepgina">
    <w:name w:val="footer"/>
    <w:basedOn w:val="Normal"/>
    <w:link w:val="PiedepginaCar"/>
    <w:uiPriority w:val="99"/>
    <w:unhideWhenUsed w:val="1"/>
    <w:rsid w:val="00424AD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24AD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xzCRMwvirTjjzA8+C4Sr2zz7xg==">CgMxLjAyDmguY2R0b296bGt4NzVxMg5oLnAyYnJxazRzN2k3bzIOaC5waTkzMXBmamZvMGcyDmgudWJrY296NTBuczdiMg5oLmJpem45NTd0dTZiMzIOaC5xNnU4Y2UxMTI5cTcyDmgucGZ3MTVud3hsYnB6OAByITEzNUg3SHhBbVFTWDNSUlNwVVYwcDN2dFBudU5NOUk3eg==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2026-08-24T14:44:00Z</dcterms:created>
  <dc:creator>Alumno Plaza Vespucio</dc:creator>
</cp:coreProperties>
</file>