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Cascading Keys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Surrogate Keys: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48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Benefits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line="48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Surrogate keys ensure that the child only inherits one attribute from the parent class.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line="48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Serves as a way of differentiating or distinguishing between attributes in different rows of different classes.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48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Liabilities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line="48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would be hard to generate a surrogate key.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line="48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someone else is trying to work on the same database, it would be hard for the new person to recognize the surrogate key.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Natural Keys: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Benefits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48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Natural keys ensure consistency between each class.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48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Natural keys are attributes that can be easily found in each table since they already exist in the class.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Liabilities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48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They may need to be changed if the attributes of a table change.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48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Could be difficult to determine what attributes would be a good choice for the natural key(s) since multiple attributes may have their own pro’s/con’s when it comes to the design of the database.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