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36"/>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Core Security Principles</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12</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Security Policy Implementation</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C/C++ Standards Baseline</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 in the DevSecOps Pipeline</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Encryption and Triple-A Policies</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Principle Mapping and Justification</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rPr>
          <w:b/>
        </w:rPr>
        <w:t>Core Security Principles</w:t>
      </w:r>
      <w:bookmarkEnd w:id="3"/>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spacing w:after="0" w:before="0"/>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spacing w:after="0" w:before="0"/>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Validate Input Data</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Treat all data crossing a trust boundary as untrusted until it has been validated. Inputs must be checked for expected type, length, range, format, and permitted values before they are used so malformed or hostile data cannot drive the program into an unsafe state.</w:t>
            </w:r>
          </w:p>
        </w:tc>
      </w:tr>
      <w:tr w:rsidR="00381847" w14:paraId="22FF00E1"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Heed Compiler Warnings</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Green Pace code must compile cleanly at an elevated warning level. Compiler warnings often reveal unsafe conversions, uninitialized data, unreachable code, buffer problems, and other defects that can become security vulnerabilities, so warnings must be investigated rather than ignored.</w:t>
            </w:r>
          </w:p>
        </w:tc>
      </w:tr>
      <w:tr w:rsidR="00381847" w14:paraId="7FF9B44A"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Architect and Design for Security Policies</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Security requirements must be included during planning and design instead of added after implementation. Architecture should define trust boundaries, data classifications, access controls, failure behavior, logging, and approved security mechanisms before code is written.</w:t>
            </w:r>
          </w:p>
        </w:tc>
      </w:tr>
      <w:tr w:rsidR="00381847" w14:paraId="23BA0927"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Keep It Simple</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Security controls and code should be as small, clear, and understandable as practical. Simpler designs are easier to review, test, and maintain, which reduces hidden interactions and makes security defects less likely to be introduced.</w:t>
            </w:r>
          </w:p>
        </w:tc>
      </w:tr>
      <w:tr w:rsidR="00381847" w14:paraId="66B92D07"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Default Deny</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Access should be denied unless it is explicitly permitted. New users, services, roles, network paths, and application functions should begin with no unnecessary access so a missing rule fails safely rather than granting unintended privileges.</w:t>
            </w:r>
          </w:p>
        </w:tc>
      </w:tr>
      <w:tr w:rsidR="00381847" w14:paraId="4BC1F1C0"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Adhere to the Principle of Least Privilege</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Users, services, processes, and database accounts should receive only the permissions required to perform their assigned tasks. Limiting privileges reduces the damage that can occur if credentials, code, or a component are compromised.</w:t>
            </w:r>
          </w:p>
        </w:tc>
      </w:tr>
      <w:tr w:rsidR="00381847" w14:paraId="20F4BFFE"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Sanitize Data Sent to Other Systems</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Before data is passed to another subsystem such as a database, shell, browser, or external API, it must be encoded, escaped, parameterized, or otherwise sanitized for that destination. The receiving system should never be expected to interpret untrusted data safely by accident.</w:t>
            </w:r>
          </w:p>
        </w:tc>
      </w:tr>
      <w:tr w:rsidR="00381847" w14:paraId="00F1B867"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Practice Defense in Depth</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Green Pace will use multiple independent layers of protection so that failure of one control does not expose critical assets. Secure coding, authentication, authorization, encryption, network controls, monitoring, testing, and incident response work together as overlapping safeguards.</w:t>
            </w:r>
          </w:p>
        </w:tc>
      </w:tr>
      <w:tr w:rsidR="00381847" w14:paraId="5929F3EC"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Use Effective Quality Assurance Techniques</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Security quality must be verified continuously through code review, unit tests, static analysis, dependency analysis, fuzzing, integration tests, penetration testing, and regression testing. Testing should include invalid and boundary inputs, not only normal use cases.</w:t>
            </w:r>
          </w:p>
        </w:tc>
      </w:tr>
      <w:tr w:rsidR="00381847" w14:paraId="34C295DC" w14:textId="77777777" w:rsidTr="00001F14">
        <w:tc>
          <w:tcPr>
            <w:tcW w:w="2542"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sz w:val="20"/>
              </w:rPr>
              <w:t>Adopt a Secure Coding Standard</w:t>
            </w:r>
          </w:p>
        </w:tc>
        <w:tc>
          <w:tcPr>
            <w:tcW w:w="8238"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9"/>
              </w:rPr>
              <w:t>Development teams must use a documented secure coding standard such as SEI CERT C++ and apply it consistently. A shared standard makes expectations measurable, supports automated checks, and gives auditors objective evidence of secure development practices.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rPr>
          <w:b w:val="0"/>
        </w:rPr>
        <w:t>Green Pace adopts the following ten C/C++ security standards as the minimum secure-coding baseline. Each standard includes a rationale, noncompliant and compliant examples, principle mapping, risk rating, and automated enforcement guidance.</w:t>
      </w:r>
    </w:p>
    <w:p w14:paraId="7B4C2F4E" w14:textId="77777777" w:rsidR="00381847" w:rsidRDefault="00E769D9" w:rsidP="0059536C">
      <w:pPr>
        <w:pStyle w:val="Heading4"/>
        <w:pageBreakBefore/>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spacing w:after="0" w:before="0"/>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Data Type</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STD-001-CPP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Validate type conversions before casting (SEI CERT INT50-CPP). Values from external or loosely typed sources must be checked before conversion so the target type can represent the value safely.</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pPr>
              <w:spacing w:after="0" w:before="0"/>
            </w:pPr>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Casting an unchecked integer directly to an enumeration can create a value outside the intended domain and can corrupt authorization or control-flow decisions.</w:t>
            </w:r>
          </w:p>
        </w:tc>
      </w:tr>
      <w:tr w:rsidR="00F72634" w14:paraId="5B8614A1"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enum class AccessLevel { Guest = 0, User = 1, Admin = 2 };</w:t>
            </w:r>
            <w:r>
              <w:br/>
            </w:r>
            <w:r>
              <w:rPr>
                <w:rFonts w:ascii="Courier New" w:hAnsi="Courier New" w:eastAsia="Courier New"/>
                <w:sz w:val="24"/>
              </w:rPr>
            </w:r>
            <w:r>
              <w:br/>
            </w:r>
            <w:r>
              <w:rPr>
                <w:rFonts w:ascii="Courier New" w:hAnsi="Courier New" w:eastAsia="Courier New"/>
                <w:sz w:val="24"/>
              </w:rPr>
              <w:t>AccessLevel parseLevel(int value) {</w:t>
            </w:r>
            <w:r>
              <w:br/>
            </w:r>
            <w:r>
              <w:rPr>
                <w:rFonts w:ascii="Courier New" w:hAnsi="Courier New" w:eastAsia="Courier New"/>
                <w:sz w:val="24"/>
              </w:rPr>
              <w:t xml:space="preserve">    return static_cast&lt;AccessLevel&gt;(value); // unchecked</w:t>
            </w:r>
            <w:r>
              <w:br/>
            </w:r>
            <w:r>
              <w:rPr>
                <w:rFonts w:ascii="Courier New" w:hAnsi="Courier New" w:eastAsia="Courier New"/>
                <w:sz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pPr>
              <w:spacing w:after="0" w:before="0"/>
            </w:pPr>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Validate the numeric range before the conversion. Reject values that do not correspond to an approved enumerator.</w:t>
            </w:r>
          </w:p>
        </w:tc>
      </w:tr>
      <w:tr w:rsidR="00F72634" w14:paraId="4EAB134E"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AccessLevel parseLevel(int value) {</w:t>
            </w:r>
            <w:r>
              <w:br/>
            </w:r>
            <w:r>
              <w:rPr>
                <w:rFonts w:ascii="Courier New" w:hAnsi="Courier New" w:eastAsia="Courier New"/>
                <w:sz w:val="24"/>
              </w:rPr>
              <w:t xml:space="preserve">    if (value &lt; 0 || value &gt; 2) {</w:t>
            </w:r>
            <w:r>
              <w:br/>
            </w:r>
            <w:r>
              <w:rPr>
                <w:rFonts w:ascii="Courier New" w:hAnsi="Courier New" w:eastAsia="Courier New"/>
                <w:sz w:val="24"/>
              </w:rPr>
              <w:t xml:space="preserve">        throw std::out_of_range("invalid access level");</w:t>
            </w:r>
            <w:r>
              <w:br/>
            </w:r>
            <w:r>
              <w:rPr>
                <w:rFonts w:ascii="Courier New" w:hAnsi="Courier New" w:eastAsia="Courier New"/>
                <w:sz w:val="24"/>
              </w:rPr>
              <w:t xml:space="preserve">    }</w:t>
            </w:r>
            <w:r>
              <w:br/>
            </w:r>
            <w:r>
              <w:rPr>
                <w:rFonts w:ascii="Courier New" w:hAnsi="Courier New" w:eastAsia="Courier New"/>
                <w:sz w:val="24"/>
              </w:rPr>
              <w:t xml:space="preserve">    return static_cast&lt;AccessLevel&gt;(value);</w:t>
            </w:r>
            <w:r>
              <w:br/>
            </w:r>
            <w:r>
              <w:rPr>
                <w:rFonts w:ascii="Courier New" w:hAnsi="Courier New" w:eastAsia="Courier New"/>
                <w:sz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1, 2, 9, and 10. Input validation constrains the value before conversion; compiler/static-analysis warnings expose unsafe casts; QA tests boundary values; and INT50-CPP supplies the secure-coding rule.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spacing w:after="0" w:before="0"/>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Medium</w:t>
            </w:r>
          </w:p>
        </w:tc>
        <w:tc>
          <w:tcPr>
            <w:tcW w:w="1341" w:type="dxa"/>
            <w:shd w:val="clear" w:color="auto" w:fill="auto"/>
            <w:vAlign w:val="center"/>
          </w:tcPr>
          <w:p>
            <w:pPr>
              <w:spacing w:before="0" w:after="0" w:line="240" w:lineRule="auto"/>
            </w:pPr>
            <w:r/>
            <w:r>
              <w:rPr>
                <w:rFonts w:ascii="Aptos" w:hAnsi="Aptos" w:eastAsia="Aptos"/>
                <w:b w:val="0"/>
                <w:sz w:val="18"/>
              </w:rPr>
              <w:t>Unlikely</w:t>
            </w:r>
          </w:p>
        </w:tc>
        <w:tc>
          <w:tcPr>
            <w:tcW w:w="4021" w:type="dxa"/>
            <w:shd w:val="clear" w:color="auto" w:fill="auto"/>
            <w:vAlign w:val="center"/>
          </w:tcPr>
          <w:p>
            <w:pPr>
              <w:spacing w:before="0" w:after="0" w:line="240" w:lineRule="auto"/>
            </w:pPr>
            <w:r/>
            <w:r>
              <w:rPr>
                <w:rFonts w:ascii="Aptos" w:hAnsi="Aptos" w:eastAsia="Aptos"/>
                <w:b w:val="0"/>
                <w:sz w:val="18"/>
              </w:rPr>
              <w:t>Low</w:t>
            </w:r>
          </w:p>
        </w:tc>
        <w:tc>
          <w:tcPr>
            <w:tcW w:w="1807" w:type="dxa"/>
            <w:shd w:val="clear" w:color="auto" w:fill="auto"/>
            <w:vAlign w:val="center"/>
          </w:tcPr>
          <w:p>
            <w:pPr>
              <w:spacing w:before="0" w:after="0" w:line="240" w:lineRule="auto"/>
            </w:pPr>
            <w:r/>
            <w:r>
              <w:rPr>
                <w:rFonts w:ascii="Aptos" w:hAnsi="Aptos" w:eastAsia="Aptos"/>
                <w:b/>
                <w:sz w:val="18"/>
              </w:rPr>
              <w:t>Medium</w:t>
            </w:r>
          </w:p>
        </w:tc>
        <w:tc>
          <w:tcPr>
            <w:tcW w:w="1805" w:type="dxa"/>
            <w:shd w:val="clear" w:color="auto" w:fill="auto"/>
            <w:vAlign w:val="center"/>
          </w:tcPr>
          <w:p>
            <w:pPr>
              <w:spacing w:before="0" w:after="0" w:line="240" w:lineRule="auto"/>
            </w:pPr>
            <w:r/>
            <w:r>
              <w:rPr>
                <w:rFonts w:ascii="Aptos" w:hAnsi="Aptos" w:eastAsia="Aptos"/>
                <w:b/>
                <w:sz w:val="18"/>
              </w:rP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34797317"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2024.2</w:t>
            </w:r>
          </w:p>
        </w:tc>
        <w:tc>
          <w:tcPr>
            <w:tcW w:w="4021" w:type="dxa"/>
            <w:shd w:val="clear" w:color="auto" w:fill="auto"/>
            <w:vAlign w:val="center"/>
          </w:tcPr>
          <w:p>
            <w:pPr>
              <w:spacing w:before="0" w:after="0" w:line="240" w:lineRule="auto"/>
            </w:pPr>
            <w:r/>
            <w:r>
              <w:rPr>
                <w:rFonts w:ascii="Aptos" w:hAnsi="Aptos" w:eastAsia="Aptos"/>
                <w:b w:val="0"/>
                <w:sz w:val="17"/>
              </w:rPr>
              <w:t>CERT_CPP-INT50-a</w:t>
            </w:r>
          </w:p>
        </w:tc>
        <w:tc>
          <w:tcPr>
            <w:tcW w:w="3611" w:type="dxa"/>
            <w:shd w:val="clear" w:color="auto" w:fill="auto"/>
            <w:vAlign w:val="center"/>
          </w:tcPr>
          <w:p>
            <w:pPr>
              <w:spacing w:before="0" w:after="0" w:line="240" w:lineRule="auto"/>
            </w:pPr>
            <w:r/>
            <w:r>
              <w:rPr>
                <w:rFonts w:ascii="Aptos" w:hAnsi="Aptos" w:eastAsia="Aptos"/>
                <w:b w:val="0"/>
                <w:sz w:val="17"/>
              </w:rPr>
              <w:t>Flags enumeration values that do not correspond to valid enumerators (SEI CERT INT50-CPP).</w:t>
            </w:r>
          </w:p>
        </w:tc>
      </w:tr>
    </w:tbl>
    <w:p w14:paraId="72AFA4CB" w14:textId="77777777" w:rsidR="00381847" w:rsidRDefault="00E769D9" w:rsidP="0059536C">
      <w:pPr>
        <w:pStyle w:val="Heading4"/>
        <w:pageBreakBefore/>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spacing w:after="0" w:before="0"/>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Data Value</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STD-002-CPP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Validate numeric conversion results and ranges (SEI CERT ERR62-CPP). Numeric input must be parsed with an interface that reports conversion errors, and invalid or out-of-range values must be rejected before use.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pPr>
              <w:spacing w:after="0" w:before="0"/>
            </w:pPr>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atoi() does not provide reliable error reporting. Invalid text or an out-of-range value can silently become an unexpected number and then influence calculations, indexes, or security decisions.</w:t>
            </w:r>
          </w:p>
        </w:tc>
      </w:tr>
      <w:tr w:rsidR="00F72634" w14:paraId="347ECF59"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int readCount(const std::string&amp; text) {</w:t>
            </w:r>
            <w:r>
              <w:br/>
            </w:r>
            <w:r>
              <w:rPr>
                <w:rFonts w:ascii="Courier New" w:hAnsi="Courier New" w:eastAsia="Courier New"/>
                <w:sz w:val="24"/>
              </w:rPr>
              <w:t xml:space="preserve">    return std::atoi(text.c_str()); // no error check</w:t>
            </w:r>
            <w:r>
              <w:br/>
            </w:r>
            <w:r>
              <w:rPr>
                <w:rFonts w:ascii="Courier New" w:hAnsi="Courier New" w:eastAsia="Courier New"/>
                <w:sz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pPr>
              <w:spacing w:after="0" w:before="0"/>
            </w:pPr>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r>
              <w:t>Use a checked conversion, verify that all input was consumed, and enforce the application-approved range.</w:t>
            </w:r>
          </w:p>
        </w:tc>
      </w:tr>
      <w:tr w:rsidR="00F72634" w14:paraId="71761811" w14:textId="77777777" w:rsidTr="00001F14">
        <w:trPr>
          <w:trHeight w:val="460"/>
        </w:trPr>
        <w:tc>
          <w:tcPr>
            <w:tcW w:w="10800" w:type="dxa"/>
            <w:tcMar>
              <w:top w:w="100" w:type="dxa"/>
              <w:left w:w="100" w:type="dxa"/>
              <w:bottom w:w="100" w:type="dxa"/>
              <w:right w:w="100" w:type="dxa"/>
            </w:tcMar>
            <w:vAlign w:val="center"/>
          </w:tcPr>
          <w:p>
            <w:r>
              <w:rPr>
                <w:rFonts w:ascii="Courier New" w:hAnsi="Courier New"/>
                <w:sz w:val="24"/>
              </w:rPr>
              <w:t>int readCount(const std::string&amp; text) {</w:t>
              <w:br/>
              <w:t xml:space="preserve">    size_t pos = 0;</w:t>
              <w:br/>
              <w:t xml:space="preserve">    int value = std::stoi(text, &amp;pos);</w:t>
              <w:br/>
              <w:t xml:space="preserve">    if (pos != text.size() || value &lt; 0 || value &gt; 1000)</w:t>
              <w:br/>
              <w:t xml:space="preserve">        throw std::invalid_argument("invalid count");</w:t>
              <w:br/>
              <w:t xml:space="preserve">    return value;</w:t>
              <w:br/>
              <w:t>}</w:t>
            </w:r>
          </w:p>
        </w:tc>
      </w:tr>
    </w:tbl>
    <w:p w14:paraId="5A8644E7" w14:textId="77777777" w:rsidR="00B475A1" w:rsidRDefault="00B475A1" w:rsidP="00B475A1">
      <w:pPr>
        <w:rPr>
          <w:b/>
        </w:rPr>
      </w:pPr>
    </w:p>
    <w:p w14:paraId="6C0E2E27"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1, 2, 9, and 10. Numeric values are validated at the trust boundary, compiler/static-analysis findings are addressed, tests cover malformed and extreme inputs, and ERR62-CPP defines the required conversion behavior.</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spacing w:after="0" w:before="0"/>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Medium</w:t>
            </w:r>
          </w:p>
        </w:tc>
        <w:tc>
          <w:tcPr>
            <w:tcW w:w="1341" w:type="dxa"/>
            <w:shd w:val="clear" w:color="auto" w:fill="auto"/>
            <w:vAlign w:val="center"/>
          </w:tcPr>
          <w:p>
            <w:pPr>
              <w:spacing w:before="0" w:after="0" w:line="240" w:lineRule="auto"/>
            </w:pPr>
            <w:r/>
            <w:r>
              <w:rPr>
                <w:rFonts w:ascii="Aptos" w:hAnsi="Aptos" w:eastAsia="Aptos"/>
                <w:b w:val="0"/>
                <w:sz w:val="18"/>
              </w:rPr>
              <w:t>Unlikely</w:t>
            </w:r>
          </w:p>
        </w:tc>
        <w:tc>
          <w:tcPr>
            <w:tcW w:w="4021" w:type="dxa"/>
            <w:shd w:val="clear" w:color="auto" w:fill="auto"/>
            <w:vAlign w:val="center"/>
          </w:tcPr>
          <w:p>
            <w:pPr>
              <w:spacing w:before="0" w:after="0" w:line="240" w:lineRule="auto"/>
            </w:pPr>
            <w:r/>
            <w:r>
              <w:rPr>
                <w:rFonts w:ascii="Aptos" w:hAnsi="Aptos" w:eastAsia="Aptos"/>
                <w:b w:val="0"/>
                <w:sz w:val="18"/>
              </w:rPr>
              <w:t>Low</w:t>
            </w:r>
          </w:p>
        </w:tc>
        <w:tc>
          <w:tcPr>
            <w:tcW w:w="1807" w:type="dxa"/>
            <w:shd w:val="clear" w:color="auto" w:fill="auto"/>
            <w:vAlign w:val="center"/>
          </w:tcPr>
          <w:p>
            <w:pPr>
              <w:spacing w:before="0" w:after="0" w:line="240" w:lineRule="auto"/>
            </w:pPr>
            <w:r/>
            <w:r>
              <w:rPr>
                <w:rFonts w:ascii="Aptos" w:hAnsi="Aptos" w:eastAsia="Aptos"/>
                <w:b/>
                <w:sz w:val="18"/>
              </w:rPr>
              <w:t>Medium</w:t>
            </w:r>
          </w:p>
        </w:tc>
        <w:tc>
          <w:tcPr>
            <w:tcW w:w="1805" w:type="dxa"/>
            <w:shd w:val="clear" w:color="auto" w:fill="auto"/>
            <w:vAlign w:val="center"/>
          </w:tcPr>
          <w:p>
            <w:pPr>
              <w:spacing w:before="0" w:after="0" w:line="240" w:lineRule="auto"/>
            </w:pPr>
            <w:r/>
            <w:r>
              <w:rPr>
                <w:rFonts w:ascii="Aptos" w:hAnsi="Aptos" w:eastAsia="Aptos"/>
                <w:b/>
                <w:sz w:val="18"/>
              </w:rP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300BC336"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2024.2</w:t>
            </w:r>
          </w:p>
        </w:tc>
        <w:tc>
          <w:tcPr>
            <w:tcW w:w="4021" w:type="dxa"/>
            <w:shd w:val="clear" w:color="auto" w:fill="auto"/>
            <w:vAlign w:val="center"/>
          </w:tcPr>
          <w:p>
            <w:pPr>
              <w:spacing w:before="0" w:after="0" w:line="240" w:lineRule="auto"/>
            </w:pPr>
            <w:r/>
            <w:r>
              <w:rPr>
                <w:rFonts w:ascii="Aptos" w:hAnsi="Aptos" w:eastAsia="Aptos"/>
                <w:b w:val="0"/>
                <w:sz w:val="17"/>
              </w:rPr>
              <w:t>CERT_CPP-ERR62-a</w:t>
            </w:r>
          </w:p>
        </w:tc>
        <w:tc>
          <w:tcPr>
            <w:tcW w:w="3611" w:type="dxa"/>
            <w:shd w:val="clear" w:color="auto" w:fill="auto"/>
            <w:vAlign w:val="center"/>
          </w:tcPr>
          <w:p>
            <w:pPr>
              <w:spacing w:before="0" w:after="0" w:line="240" w:lineRule="auto"/>
            </w:pPr>
            <w:r/>
            <w:r>
              <w:rPr>
                <w:rFonts w:ascii="Aptos" w:hAnsi="Aptos" w:eastAsia="Aptos"/>
                <w:b w:val="0"/>
                <w:sz w:val="17"/>
              </w:rPr>
              <w:t>Detects unsafe C-style string-to-number conversion functions.</w:t>
            </w:r>
          </w:p>
        </w:tc>
      </w:tr>
    </w:tbl>
    <w:p w14:paraId="255DE229" w14:textId="77777777" w:rsidR="00381847" w:rsidRDefault="00E769D9" w:rsidP="0059536C">
      <w:pPr>
        <w:pStyle w:val="Heading4"/>
        <w:pageBreakBefore/>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spacing w:after="0" w:before="0"/>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String Correctness</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STD-003-CPP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Range-check string element access (SEI CERT STR53-CPP). Code must not read or write outside a std::string; index values must be checked or a bounds-checking interface such as at() must be used.</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pPr>
              <w:spacing w:after="0" w:before="0"/>
            </w:pPr>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operator[] does not provide the same bounds protection as at(). An attacker-controlled index can cause an out-of-bounds read or write.</w:t>
            </w:r>
          </w:p>
        </w:tc>
      </w:tr>
      <w:tr w:rsidR="00F72634" w14:paraId="6EF6786D"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char getChar(const std::string&amp; text, std::size_t index) {</w:t>
            </w:r>
            <w:r>
              <w:br/>
            </w:r>
            <w:r>
              <w:rPr>
                <w:rFonts w:ascii="Courier New" w:hAnsi="Courier New" w:eastAsia="Courier New"/>
                <w:sz w:val="24"/>
              </w:rPr>
              <w:t xml:space="preserve">    return text[index]; // unchecked index</w:t>
            </w:r>
            <w:r>
              <w:br/>
            </w:r>
            <w:r>
              <w:rPr>
                <w:rFonts w:ascii="Courier New" w:hAnsi="Courier New" w:eastAsia="Courier New"/>
                <w:sz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pPr>
              <w:spacing w:after="0" w:before="0"/>
            </w:pPr>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Use std::string::at() or validate the index before access. Handle std::out_of_range at the appropriate layer.</w:t>
            </w:r>
          </w:p>
        </w:tc>
      </w:tr>
      <w:tr w:rsidR="00F72634" w14:paraId="1A9D16B4"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char getChar(const std::string&amp; text, std::size_t index) {</w:t>
            </w:r>
            <w:r>
              <w:br/>
            </w:r>
            <w:r>
              <w:rPr>
                <w:rFonts w:ascii="Courier New" w:hAnsi="Courier New" w:eastAsia="Courier New"/>
                <w:sz w:val="24"/>
              </w:rPr>
              <w:t xml:space="preserve">    if (index &gt;= text.size()) {</w:t>
            </w:r>
            <w:r>
              <w:br/>
            </w:r>
            <w:r>
              <w:rPr>
                <w:rFonts w:ascii="Courier New" w:hAnsi="Courier New" w:eastAsia="Courier New"/>
                <w:sz w:val="24"/>
              </w:rPr>
              <w:t xml:space="preserve">        throw std::out_of_range("string index");</w:t>
            </w:r>
            <w:r>
              <w:br/>
            </w:r>
            <w:r>
              <w:rPr>
                <w:rFonts w:ascii="Courier New" w:hAnsi="Courier New" w:eastAsia="Courier New"/>
                <w:sz w:val="24"/>
              </w:rPr>
              <w:t xml:space="preserve">    }</w:t>
            </w:r>
            <w:r>
              <w:br/>
            </w:r>
            <w:r>
              <w:rPr>
                <w:rFonts w:ascii="Courier New" w:hAnsi="Courier New" w:eastAsia="Courier New"/>
                <w:sz w:val="24"/>
              </w:rPr>
              <w:t xml:space="preserve">    return text.at(index);</w:t>
            </w:r>
            <w:r>
              <w:br/>
            </w:r>
            <w:r>
              <w:rPr>
                <w:rFonts w:ascii="Courier New" w:hAnsi="Courier New" w:eastAsia="Courier New"/>
                <w:sz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1, 4, 8, 9, and 10. Bounds validation rejects hostile indexes, simple checked APIs reduce mistakes, defense in depth limits memory corruption, QA exercises boundary cases, and STR53-CPP provides the governing rule.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spacing w:after="0" w:before="0"/>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High</w:t>
            </w:r>
          </w:p>
        </w:tc>
        <w:tc>
          <w:tcPr>
            <w:tcW w:w="1341" w:type="dxa"/>
            <w:shd w:val="clear" w:color="auto" w:fill="auto"/>
            <w:vAlign w:val="center"/>
          </w:tcPr>
          <w:p>
            <w:pPr>
              <w:spacing w:before="0" w:after="0" w:line="240" w:lineRule="auto"/>
            </w:pPr>
            <w:r/>
            <w:r>
              <w:rPr>
                <w:rFonts w:ascii="Aptos" w:hAnsi="Aptos" w:eastAsia="Aptos"/>
                <w:b w:val="0"/>
                <w:sz w:val="18"/>
              </w:rPr>
              <w:t>Unlikely</w:t>
            </w:r>
          </w:p>
        </w:tc>
        <w:tc>
          <w:tcPr>
            <w:tcW w:w="4021" w:type="dxa"/>
            <w:shd w:val="clear" w:color="auto" w:fill="auto"/>
            <w:vAlign w:val="center"/>
          </w:tcPr>
          <w:p>
            <w:pPr>
              <w:spacing w:before="0" w:after="0" w:line="240" w:lineRule="auto"/>
            </w:pPr>
            <w:r/>
            <w:r>
              <w:rPr>
                <w:rFonts w:ascii="Aptos" w:hAnsi="Aptos" w:eastAsia="Aptos"/>
                <w:b w:val="0"/>
                <w:sz w:val="18"/>
              </w:rPr>
              <w:t>Medium</w:t>
            </w:r>
          </w:p>
        </w:tc>
        <w:tc>
          <w:tcPr>
            <w:tcW w:w="1807" w:type="dxa"/>
            <w:shd w:val="clear" w:color="auto" w:fill="auto"/>
            <w:vAlign w:val="center"/>
          </w:tcPr>
          <w:p>
            <w:pPr>
              <w:spacing w:before="0" w:after="0" w:line="240" w:lineRule="auto"/>
            </w:pPr>
            <w:r/>
            <w:r>
              <w:rPr>
                <w:rFonts w:ascii="Aptos" w:hAnsi="Aptos" w:eastAsia="Aptos"/>
                <w:b/>
                <w:sz w:val="18"/>
              </w:rPr>
              <w:t>High</w:t>
            </w:r>
          </w:p>
        </w:tc>
        <w:tc>
          <w:tcPr>
            <w:tcW w:w="1805" w:type="dxa"/>
            <w:shd w:val="clear" w:color="auto" w:fill="auto"/>
            <w:vAlign w:val="center"/>
          </w:tcPr>
          <w:p>
            <w:pPr>
              <w:spacing w:before="0" w:after="0" w:line="240" w:lineRule="auto"/>
            </w:pPr>
            <w:r/>
            <w:r>
              <w:rPr>
                <w:rFonts w:ascii="Aptos" w:hAnsi="Aptos" w:eastAsia="Aptos"/>
                <w:b/>
                <w:sz w:val="18"/>
              </w:rP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73DAB152"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2023.1</w:t>
            </w:r>
          </w:p>
        </w:tc>
        <w:tc>
          <w:tcPr>
            <w:tcW w:w="4021" w:type="dxa"/>
            <w:shd w:val="clear" w:color="auto" w:fill="auto"/>
            <w:vAlign w:val="center"/>
          </w:tcPr>
          <w:p>
            <w:pPr>
              <w:spacing w:before="0" w:after="0" w:line="240" w:lineRule="auto"/>
            </w:pPr>
            <w:r/>
            <w:r>
              <w:rPr>
                <w:rFonts w:ascii="Aptos" w:hAnsi="Aptos" w:eastAsia="Aptos"/>
                <w:b w:val="0"/>
                <w:sz w:val="17"/>
              </w:rPr>
              <w:t>CERT_CPP-STR53-a</w:t>
            </w:r>
          </w:p>
        </w:tc>
        <w:tc>
          <w:tcPr>
            <w:tcW w:w="3611" w:type="dxa"/>
            <w:shd w:val="clear" w:color="auto" w:fill="auto"/>
            <w:vAlign w:val="center"/>
          </w:tcPr>
          <w:p>
            <w:pPr>
              <w:spacing w:before="0" w:after="0" w:line="240" w:lineRule="auto"/>
            </w:pPr>
            <w:r/>
            <w:r>
              <w:rPr>
                <w:rFonts w:ascii="Aptos" w:hAnsi="Aptos" w:eastAsia="Aptos"/>
                <w:b w:val="0"/>
                <w:sz w:val="17"/>
              </w:rPr>
              <w:t>Checks for unvalidated string element access under SEI CERT STR53-CPP.</w:t>
            </w:r>
          </w:p>
        </w:tc>
      </w:tr>
    </w:tbl>
    <w:p w14:paraId="77BA89C2" w14:textId="77777777" w:rsidR="00381847" w:rsidRDefault="00E769D9" w:rsidP="0059536C">
      <w:pPr>
        <w:pStyle w:val="Heading4"/>
        <w:pageBreakBefore/>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spacing w:after="0" w:before="0"/>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SQL Injection</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STD-004-CPP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Use parameterized SQL and never build executable queries from untrusted text. User-controlled values must be bound as parameters so data cannot alter SQL structure or logic.</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pPr>
              <w:spacing w:after="0" w:before="0"/>
            </w:pPr>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Concatenating a user-controlled value directly into SQL allows quotes or operators in the input to change the meaning of the query.</w:t>
            </w:r>
          </w:p>
        </w:tc>
      </w:tr>
      <w:tr w:rsidR="00F72634" w14:paraId="555F1178"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std::string sql =</w:t>
            </w:r>
            <w:r>
              <w:br/>
            </w:r>
            <w:r>
              <w:rPr>
                <w:rFonts w:ascii="Courier New" w:hAnsi="Courier New" w:eastAsia="Courier New"/>
                <w:sz w:val="24"/>
              </w:rPr>
              <w:t xml:space="preserve">    "SELECT * FROM users WHERE name='" + userName + "'";</w:t>
            </w:r>
            <w:r>
              <w:br/>
            </w:r>
            <w:r>
              <w:rPr>
                <w:rFonts w:ascii="Courier New" w:hAnsi="Courier New" w:eastAsia="Courier New"/>
                <w:sz w:val="24"/>
              </w:rPr>
              <w:t>sqlite3_exec(db, sql.c_str(), nullptr, nullptr, nullptr);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pPr>
              <w:spacing w:after="0" w:before="0"/>
            </w:pPr>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Prepare a constant SQL statement and bind user data to a placeholder. The database then treats the value as data rather than executable SQL syntax.</w:t>
            </w:r>
          </w:p>
        </w:tc>
      </w:tr>
      <w:tr w:rsidR="00F72634" w14:paraId="270FEC8A"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sqlite3_stmt* stmt = nullptr;</w:t>
            </w:r>
            <w:r>
              <w:br/>
            </w:r>
            <w:r>
              <w:rPr>
                <w:rFonts w:ascii="Courier New" w:hAnsi="Courier New" w:eastAsia="Courier New"/>
                <w:sz w:val="24"/>
              </w:rPr>
              <w:t>sqlite3_prepare_v2(db,</w:t>
            </w:r>
            <w:r>
              <w:br/>
            </w:r>
            <w:r>
              <w:rPr>
                <w:rFonts w:ascii="Courier New" w:hAnsi="Courier New" w:eastAsia="Courier New"/>
                <w:sz w:val="24"/>
              </w:rPr>
              <w:t xml:space="preserve">    "SELECT * FROM users WHERE name=?", -1, &amp;stmt, nullptr);</w:t>
            </w:r>
            <w:r>
              <w:br/>
            </w:r>
            <w:r>
              <w:rPr>
                <w:rFonts w:ascii="Courier New" w:hAnsi="Courier New" w:eastAsia="Courier New"/>
                <w:sz w:val="24"/>
              </w:rPr>
              <w:t>sqlite3_bind_text(stmt, 1, userName.c_str(), -1, SQLITE_TRANSIENT);</w:t>
            </w:r>
            <w:r>
              <w:br/>
            </w:r>
            <w:r>
              <w:rPr>
                <w:rFonts w:ascii="Courier New" w:hAnsi="Courier New" w:eastAsia="Courier New"/>
                <w:sz w:val="24"/>
              </w:rPr>
              <w:t>sqlite3_step(stmt);</w:t>
            </w:r>
            <w:r>
              <w:br/>
            </w:r>
            <w:r>
              <w:rPr>
                <w:rFonts w:ascii="Courier New" w:hAnsi="Courier New" w:eastAsia="Courier New"/>
                <w:sz w:val="24"/>
              </w:rPr>
              <w:t>sqlite3_finalize(stmt);</w:t>
            </w:r>
          </w:p>
        </w:tc>
      </w:tr>
    </w:tbl>
    <w:p w14:paraId="28F220E8" w14:textId="77777777" w:rsidR="00B475A1" w:rsidRDefault="00B475A1" w:rsidP="00B475A1">
      <w:pPr>
        <w:rPr>
          <w:b/>
        </w:rPr>
      </w:pPr>
    </w:p>
    <w:p w14:paraId="6BE535A7"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1, 5, 6, 7, 8, 9, and 10. Inputs are validated, database accounts use least privilege and default deny, data is safely parameterized before crossing the database trust boundary, and SAST/testing provide additional layers of protection.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spacing w:after="0" w:before="0"/>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High</w:t>
            </w:r>
          </w:p>
        </w:tc>
        <w:tc>
          <w:tcPr>
            <w:tcW w:w="1341" w:type="dxa"/>
            <w:shd w:val="clear" w:color="auto" w:fill="auto"/>
            <w:vAlign w:val="center"/>
          </w:tcPr>
          <w:p>
            <w:pPr>
              <w:spacing w:before="0" w:after="0" w:line="240" w:lineRule="auto"/>
            </w:pPr>
            <w:r/>
            <w:r>
              <w:rPr>
                <w:rFonts w:ascii="Aptos" w:hAnsi="Aptos" w:eastAsia="Aptos"/>
                <w:b w:val="0"/>
                <w:sz w:val="18"/>
              </w:rPr>
              <w:t>Likely</w:t>
            </w:r>
          </w:p>
        </w:tc>
        <w:tc>
          <w:tcPr>
            <w:tcW w:w="4021" w:type="dxa"/>
            <w:shd w:val="clear" w:color="auto" w:fill="auto"/>
            <w:vAlign w:val="center"/>
          </w:tcPr>
          <w:p>
            <w:pPr>
              <w:spacing w:before="0" w:after="0" w:line="240" w:lineRule="auto"/>
            </w:pPr>
            <w:r/>
            <w:r>
              <w:rPr>
                <w:rFonts w:ascii="Aptos" w:hAnsi="Aptos" w:eastAsia="Aptos"/>
                <w:b w:val="0"/>
                <w:sz w:val="18"/>
              </w:rPr>
              <w:t>Medium</w:t>
            </w:r>
          </w:p>
        </w:tc>
        <w:tc>
          <w:tcPr>
            <w:tcW w:w="1807" w:type="dxa"/>
            <w:shd w:val="clear" w:color="auto" w:fill="auto"/>
            <w:vAlign w:val="center"/>
          </w:tcPr>
          <w:p>
            <w:pPr>
              <w:spacing w:before="0" w:after="0" w:line="240" w:lineRule="auto"/>
            </w:pPr>
            <w:r/>
            <w:r>
              <w:rPr>
                <w:rFonts w:ascii="Aptos" w:hAnsi="Aptos" w:eastAsia="Aptos"/>
                <w:b/>
                <w:sz w:val="18"/>
              </w:rPr>
              <w:t>High</w:t>
            </w:r>
          </w:p>
        </w:tc>
        <w:tc>
          <w:tcPr>
            <w:tcW w:w="1805" w:type="dxa"/>
            <w:shd w:val="clear" w:color="auto" w:fill="auto"/>
            <w:vAlign w:val="center"/>
          </w:tcPr>
          <w:p>
            <w:pPr>
              <w:spacing w:before="0" w:after="0" w:line="240" w:lineRule="auto"/>
            </w:pPr>
            <w:r/>
            <w:r>
              <w:rPr>
                <w:rFonts w:ascii="Aptos" w:hAnsi="Aptos" w:eastAsia="Aptos"/>
                <w:b/>
                <w:sz w:val="18"/>
              </w:rP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4AE2E526"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GitHub CodeQL CLI</w:t>
            </w:r>
          </w:p>
        </w:tc>
        <w:tc>
          <w:tcPr>
            <w:tcW w:w="1341" w:type="dxa"/>
            <w:shd w:val="clear" w:color="auto" w:fill="auto"/>
            <w:vAlign w:val="center"/>
          </w:tcPr>
          <w:p>
            <w:pPr>
              <w:spacing w:before="0" w:after="0" w:line="240" w:lineRule="auto"/>
            </w:pPr>
            <w:r/>
            <w:r>
              <w:rPr>
                <w:rFonts w:ascii="Aptos" w:hAnsi="Aptos" w:eastAsia="Aptos"/>
                <w:b w:val="0"/>
                <w:sz w:val="17"/>
              </w:rPr>
              <w:t>2.27.1</w:t>
            </w:r>
          </w:p>
        </w:tc>
        <w:tc>
          <w:tcPr>
            <w:tcW w:w="4021" w:type="dxa"/>
            <w:shd w:val="clear" w:color="auto" w:fill="auto"/>
            <w:vAlign w:val="center"/>
          </w:tcPr>
          <w:p>
            <w:pPr>
              <w:spacing w:before="0" w:after="0" w:line="240" w:lineRule="auto"/>
            </w:pPr>
            <w:r/>
            <w:r>
              <w:rPr>
                <w:rFonts w:ascii="Aptos" w:hAnsi="Aptos" w:eastAsia="Aptos"/>
                <w:b w:val="0"/>
                <w:sz w:val="17"/>
              </w:rPr>
              <w:t>cpp/sql-injection</w:t>
            </w:r>
          </w:p>
        </w:tc>
        <w:tc>
          <w:tcPr>
            <w:tcW w:w="3611" w:type="dxa"/>
            <w:shd w:val="clear" w:color="auto" w:fill="auto"/>
            <w:vAlign w:val="center"/>
          </w:tcPr>
          <w:p>
            <w:pPr>
              <w:spacing w:before="0" w:after="0" w:line="240" w:lineRule="auto"/>
            </w:pPr>
            <w:r/>
            <w:r>
              <w:rPr>
                <w:rFonts w:ascii="Aptos" w:hAnsi="Aptos" w:eastAsia="Aptos"/>
                <w:b w:val="0"/>
                <w:sz w:val="17"/>
              </w:rPr>
              <w:t>High-precision C/C++ taint analysis for uncontrolled data in SQL queries (CWE-89).</w:t>
            </w:r>
          </w:p>
        </w:tc>
      </w:tr>
    </w:tbl>
    <w:p w14:paraId="380C8C65" w14:textId="77777777" w:rsidR="00381847" w:rsidRDefault="00E769D9" w:rsidP="0059536C">
      <w:pPr>
        <w:pStyle w:val="Heading4"/>
        <w:pageBreakBefore/>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spacing w:after="0" w:before="0"/>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Memory Protection</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STD-005-CPP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Do not access freed memory (SEI CERT MEM50-CPP). Object lifetime must be explicit and ownership should use RAII and standard smart pointers whenever practical.</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pPr>
              <w:spacing w:after="0" w:before="0"/>
            </w:pPr>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Dereferencing a pointer after delete is use-after-free. The memory may have been reused, causing crashes, data corruption, information exposure, or arbitrary code execution.</w:t>
            </w:r>
          </w:p>
        </w:tc>
      </w:tr>
      <w:tr w:rsidR="00F72634" w14:paraId="3267071A"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Widget* w = new Widget();</w:t>
            </w:r>
            <w:r>
              <w:br/>
            </w:r>
            <w:r>
              <w:rPr>
                <w:rFonts w:ascii="Courier New" w:hAnsi="Courier New" w:eastAsia="Courier New"/>
                <w:sz w:val="24"/>
              </w:rPr>
              <w:t>delete w;</w:t>
            </w:r>
            <w:r>
              <w:br/>
            </w:r>
            <w:r>
              <w:rPr>
                <w:rFonts w:ascii="Courier New" w:hAnsi="Courier New" w:eastAsia="Courier New"/>
                <w:sz w:val="24"/>
              </w:rPr>
              <w:t>w-&gt;update(); // use after free</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pPr>
              <w:spacing w:after="0" w:before="0"/>
            </w:pPr>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Prefer automatic storage or smart pointers so the object lifetime is tied to scope and the pointer cannot outlive the managed object by accident.</w:t>
            </w:r>
          </w:p>
        </w:tc>
      </w:tr>
      <w:tr w:rsidR="00F72634" w14:paraId="7A1A78A0"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auto w = std::make_unique&lt;Widget&gt;();</w:t>
            </w:r>
            <w:r>
              <w:br/>
            </w:r>
            <w:r>
              <w:rPr>
                <w:rFonts w:ascii="Courier New" w:hAnsi="Courier New" w:eastAsia="Courier New"/>
                <w:sz w:val="24"/>
              </w:rPr>
              <w:t>w-&gt;update();</w:t>
            </w:r>
            <w:r>
              <w:br/>
            </w:r>
            <w:r>
              <w:rPr>
                <w:rFonts w:ascii="Courier New" w:hAnsi="Courier New" w:eastAsia="Courier New"/>
                <w:sz w:val="24"/>
              </w:rPr>
              <w:t>// memory is released automatically when w leaves scope</w:t>
            </w:r>
          </w:p>
        </w:tc>
      </w:tr>
    </w:tbl>
    <w:p w14:paraId="64928297" w14:textId="77777777" w:rsidR="00B475A1" w:rsidRDefault="00B475A1" w:rsidP="00B475A1">
      <w:pPr>
        <w:rPr>
          <w:b/>
        </w:rPr>
      </w:pPr>
    </w:p>
    <w:p w14:paraId="63A8CD6B"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2, 4, 8, 9, and 10. Compiler/static analysis can detect lifetime defects, RAII simplifies ownership, runtime protections add another layer, tests exercise error paths, and MEM50-CPP defines the secure lifetime rule.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spacing w:after="0" w:before="0"/>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High</w:t>
            </w:r>
          </w:p>
        </w:tc>
        <w:tc>
          <w:tcPr>
            <w:tcW w:w="1341" w:type="dxa"/>
            <w:shd w:val="clear" w:color="auto" w:fill="auto"/>
            <w:vAlign w:val="center"/>
          </w:tcPr>
          <w:p>
            <w:pPr>
              <w:spacing w:before="0" w:after="0" w:line="240" w:lineRule="auto"/>
            </w:pPr>
            <w:r/>
            <w:r>
              <w:rPr>
                <w:rFonts w:ascii="Aptos" w:hAnsi="Aptos" w:eastAsia="Aptos"/>
                <w:b w:val="0"/>
                <w:sz w:val="18"/>
              </w:rPr>
              <w:t>Likely</w:t>
            </w:r>
          </w:p>
        </w:tc>
        <w:tc>
          <w:tcPr>
            <w:tcW w:w="4021" w:type="dxa"/>
            <w:shd w:val="clear" w:color="auto" w:fill="auto"/>
            <w:vAlign w:val="center"/>
          </w:tcPr>
          <w:p>
            <w:pPr>
              <w:spacing w:before="0" w:after="0" w:line="240" w:lineRule="auto"/>
            </w:pPr>
            <w:r/>
            <w:r>
              <w:rPr>
                <w:rFonts w:ascii="Aptos" w:hAnsi="Aptos" w:eastAsia="Aptos"/>
                <w:b w:val="0"/>
                <w:sz w:val="18"/>
              </w:rPr>
              <w:t>Medium</w:t>
            </w:r>
          </w:p>
        </w:tc>
        <w:tc>
          <w:tcPr>
            <w:tcW w:w="1807" w:type="dxa"/>
            <w:shd w:val="clear" w:color="auto" w:fill="auto"/>
            <w:vAlign w:val="center"/>
          </w:tcPr>
          <w:p>
            <w:pPr>
              <w:spacing w:before="0" w:after="0" w:line="240" w:lineRule="auto"/>
            </w:pPr>
            <w:r/>
            <w:r>
              <w:rPr>
                <w:rFonts w:ascii="Aptos" w:hAnsi="Aptos" w:eastAsia="Aptos"/>
                <w:b/>
                <w:sz w:val="18"/>
              </w:rPr>
              <w:t>High</w:t>
            </w:r>
          </w:p>
        </w:tc>
        <w:tc>
          <w:tcPr>
            <w:tcW w:w="1805" w:type="dxa"/>
            <w:shd w:val="clear" w:color="auto" w:fill="auto"/>
            <w:vAlign w:val="center"/>
          </w:tcPr>
          <w:p>
            <w:pPr>
              <w:spacing w:before="0" w:after="0" w:line="240" w:lineRule="auto"/>
            </w:pPr>
            <w:r/>
            <w:r>
              <w:rPr>
                <w:rFonts w:ascii="Aptos" w:hAnsi="Aptos" w:eastAsia="Aptos"/>
                <w:b/>
                <w:sz w:val="18"/>
              </w:rP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03937464"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2026.1</w:t>
            </w:r>
          </w:p>
        </w:tc>
        <w:tc>
          <w:tcPr>
            <w:tcW w:w="4021" w:type="dxa"/>
            <w:shd w:val="clear" w:color="auto" w:fill="auto"/>
            <w:vAlign w:val="center"/>
          </w:tcPr>
          <w:p>
            <w:pPr>
              <w:spacing w:before="0" w:after="0" w:line="240" w:lineRule="auto"/>
            </w:pPr>
            <w:r/>
            <w:r>
              <w:rPr>
                <w:rFonts w:ascii="Aptos" w:hAnsi="Aptos" w:eastAsia="Aptos"/>
                <w:b w:val="0"/>
                <w:sz w:val="17"/>
              </w:rPr>
              <w:t>CERT_CPP-MEM50-a</w:t>
            </w:r>
          </w:p>
        </w:tc>
        <w:tc>
          <w:tcPr>
            <w:tcW w:w="3611" w:type="dxa"/>
            <w:shd w:val="clear" w:color="auto" w:fill="auto"/>
            <w:vAlign w:val="center"/>
          </w:tcPr>
          <w:p>
            <w:pPr>
              <w:spacing w:before="0" w:after="0" w:line="240" w:lineRule="auto"/>
            </w:pPr>
            <w:r/>
            <w:r>
              <w:rPr>
                <w:rFonts w:ascii="Aptos" w:hAnsi="Aptos" w:eastAsia="Aptos"/>
                <w:b w:val="0"/>
                <w:sz w:val="17"/>
              </w:rPr>
              <w:t>Detects use of resources after they have been freed.</w:t>
            </w:r>
          </w:p>
        </w:tc>
      </w:tr>
    </w:tbl>
    <w:p w14:paraId="0840904D" w14:textId="77777777" w:rsidR="00381847" w:rsidRDefault="00E769D9" w:rsidP="0059536C">
      <w:pPr>
        <w:pStyle w:val="Heading4"/>
        <w:pageBreakBefore/>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spacing w:after="0" w:before="0"/>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Assertions</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STD-006-CPP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Assertions are diagnostic checks only and must not contain required side effects. Runtime validation and error handling must not depend on assert() because assertions can be removed from release builds.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pPr>
              <w:spacing w:after="0" w:before="0"/>
            </w:pPr>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The assignment changes program state inside assert(). When NDEBUG is defined, the assertion is removed and the assignment never occurs, causing debug and release builds to behave differently.</w:t>
            </w:r>
          </w:p>
        </w:tc>
      </w:tr>
      <w:tr w:rsidR="00F72634" w14:paraId="058CAEAA"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int retries = 0;</w:t>
            </w:r>
            <w:r>
              <w:br/>
            </w:r>
            <w:r>
              <w:rPr>
                <w:rFonts w:ascii="Courier New" w:hAnsi="Courier New" w:eastAsia="Courier New"/>
                <w:sz w:val="24"/>
              </w:rPr>
              <w:t>assert(++retries &lt; 3); // side effect inside assert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pPr>
              <w:spacing w:after="0" w:before="0"/>
            </w:pPr>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Perform required state changes outside the assertion. Keep the assertion as a side-effect-free diagnostic check.</w:t>
            </w:r>
          </w:p>
        </w:tc>
      </w:tr>
      <w:tr w:rsidR="00F72634" w14:paraId="2DA5938A"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int retries = 0;</w:t>
            </w:r>
            <w:r>
              <w:br/>
            </w:r>
            <w:r>
              <w:rPr>
                <w:rFonts w:ascii="Courier New" w:hAnsi="Courier New" w:eastAsia="Courier New"/>
                <w:sz w:val="24"/>
              </w:rPr>
              <w:t>++retries;</w:t>
            </w:r>
            <w:r>
              <w:br/>
            </w:r>
            <w:r>
              <w:rPr>
                <w:rFonts w:ascii="Courier New" w:hAnsi="Courier New" w:eastAsia="Courier New"/>
                <w:sz w:val="24"/>
              </w:rPr>
              <w:t>assert(retries &lt; 3); // diagnostic only</w:t>
            </w:r>
          </w:p>
        </w:tc>
      </w:tr>
    </w:tbl>
    <w:p w14:paraId="4419F26B" w14:textId="77777777" w:rsidR="00B475A1" w:rsidRDefault="00B475A1" w:rsidP="00B475A1">
      <w:pPr>
        <w:rPr>
          <w:b/>
        </w:rPr>
      </w:pPr>
    </w:p>
    <w:p w14:paraId="3275D22E"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2, 4, 9, and 10. Compiler and static-analysis warnings must be heeded, assertions stay simple and side-effect free, release and debug builds are tested, and the policy follows CERT guidance on assertion side effects.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spacing w:after="0" w:before="0"/>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Medium</w:t>
            </w:r>
          </w:p>
        </w:tc>
        <w:tc>
          <w:tcPr>
            <w:tcW w:w="1341" w:type="dxa"/>
            <w:shd w:val="clear" w:color="auto" w:fill="auto"/>
            <w:vAlign w:val="center"/>
          </w:tcPr>
          <w:p>
            <w:pPr>
              <w:spacing w:before="0" w:after="0" w:line="240" w:lineRule="auto"/>
            </w:pPr>
            <w:r/>
            <w:r>
              <w:rPr>
                <w:rFonts w:ascii="Aptos" w:hAnsi="Aptos" w:eastAsia="Aptos"/>
                <w:b w:val="0"/>
                <w:sz w:val="18"/>
              </w:rPr>
              <w:t>Unlikely</w:t>
            </w:r>
          </w:p>
        </w:tc>
        <w:tc>
          <w:tcPr>
            <w:tcW w:w="4021" w:type="dxa"/>
            <w:shd w:val="clear" w:color="auto" w:fill="auto"/>
            <w:vAlign w:val="center"/>
          </w:tcPr>
          <w:p>
            <w:pPr>
              <w:spacing w:before="0" w:after="0" w:line="240" w:lineRule="auto"/>
            </w:pPr>
            <w:r/>
            <w:r>
              <w:rPr>
                <w:rFonts w:ascii="Aptos" w:hAnsi="Aptos" w:eastAsia="Aptos"/>
                <w:b w:val="0"/>
                <w:sz w:val="18"/>
              </w:rPr>
              <w:t>Low</w:t>
            </w:r>
          </w:p>
        </w:tc>
        <w:tc>
          <w:tcPr>
            <w:tcW w:w="1807" w:type="dxa"/>
            <w:shd w:val="clear" w:color="auto" w:fill="auto"/>
            <w:vAlign w:val="center"/>
          </w:tcPr>
          <w:p>
            <w:pPr>
              <w:spacing w:before="0" w:after="0" w:line="240" w:lineRule="auto"/>
            </w:pPr>
            <w:r/>
            <w:r>
              <w:rPr>
                <w:rFonts w:ascii="Aptos" w:hAnsi="Aptos" w:eastAsia="Aptos"/>
                <w:b/>
                <w:sz w:val="18"/>
              </w:rPr>
              <w:t>Medium</w:t>
            </w:r>
          </w:p>
        </w:tc>
        <w:tc>
          <w:tcPr>
            <w:tcW w:w="1805" w:type="dxa"/>
            <w:shd w:val="clear" w:color="auto" w:fill="auto"/>
            <w:vAlign w:val="center"/>
          </w:tcPr>
          <w:p>
            <w:pPr>
              <w:spacing w:before="0" w:after="0" w:line="240" w:lineRule="auto"/>
            </w:pPr>
            <w:r/>
            <w:r>
              <w:rPr>
                <w:rFonts w:ascii="Aptos" w:hAnsi="Aptos" w:eastAsia="Aptos"/>
                <w:b/>
                <w:sz w:val="18"/>
              </w:rP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13CC4077"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Cppcheck</w:t>
            </w:r>
          </w:p>
        </w:tc>
        <w:tc>
          <w:tcPr>
            <w:tcW w:w="1341" w:type="dxa"/>
            <w:shd w:val="clear" w:color="auto" w:fill="auto"/>
            <w:vAlign w:val="center"/>
          </w:tcPr>
          <w:p>
            <w:pPr>
              <w:spacing w:before="0" w:after="0" w:line="240" w:lineRule="auto"/>
            </w:pPr>
            <w:r/>
            <w:r>
              <w:rPr>
                <w:rFonts w:ascii="Aptos" w:hAnsi="Aptos" w:eastAsia="Aptos"/>
                <w:b w:val="0"/>
                <w:sz w:val="17"/>
              </w:rPr>
              <w:t>2.21.0</w:t>
            </w:r>
          </w:p>
        </w:tc>
        <w:tc>
          <w:tcPr>
            <w:tcW w:w="4021" w:type="dxa"/>
            <w:shd w:val="clear" w:color="auto" w:fill="auto"/>
            <w:vAlign w:val="center"/>
          </w:tcPr>
          <w:p>
            <w:pPr>
              <w:spacing w:before="0" w:after="0" w:line="240" w:lineRule="auto"/>
            </w:pPr>
            <w:r/>
            <w:r>
              <w:rPr>
                <w:rFonts w:ascii="Aptos" w:hAnsi="Aptos" w:eastAsia="Aptos"/>
                <w:b w:val="0"/>
                <w:sz w:val="17"/>
              </w:rPr>
              <w:t>assignmentInAssert / assertWithSideEffect</w:t>
            </w:r>
          </w:p>
        </w:tc>
        <w:tc>
          <w:tcPr>
            <w:tcW w:w="3611" w:type="dxa"/>
            <w:shd w:val="clear" w:color="auto" w:fill="auto"/>
            <w:vAlign w:val="center"/>
          </w:tcPr>
          <w:p>
            <w:pPr>
              <w:spacing w:before="0" w:after="0" w:line="240" w:lineRule="auto"/>
            </w:pPr>
            <w:r/>
            <w:r>
              <w:rPr>
                <w:rFonts w:ascii="Aptos" w:hAnsi="Aptos" w:eastAsia="Aptos"/>
                <w:b w:val="0"/>
                <w:sz w:val="17"/>
              </w:rPr>
              <w:t>Flags assignments and function calls with side effects inside assert statements.</w:t>
            </w:r>
          </w:p>
        </w:tc>
      </w:tr>
    </w:tbl>
    <w:p w14:paraId="25179278" w14:textId="77777777" w:rsidR="00381847" w:rsidRDefault="00E769D9" w:rsidP="0059536C">
      <w:pPr>
        <w:pStyle w:val="Heading4"/>
        <w:pageBreakBefore/>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spacing w:after="0" w:before="0"/>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Exceptions</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STD-007-CPP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Honor exception specifications and handle exceptions at defined boundaries (SEI CERT ERR55-CPP). A function declared noexcept must not allow an exception to escape.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pPr>
              <w:spacing w:after="0" w:before="0"/>
            </w:pPr>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Throwing from a noexcept function can invoke std::terminate(), abruptly ending the process and creating an availability failure.</w:t>
            </w:r>
          </w:p>
        </w:tc>
      </w:tr>
      <w:tr w:rsidR="00F72634" w14:paraId="3CEA03A3"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saveRecord() noexcept {</w:t>
            </w:r>
            <w:r>
              <w:br/>
            </w:r>
            <w:r>
              <w:rPr>
                <w:rFonts w:ascii="Courier New" w:hAnsi="Courier New" w:eastAsia="Courier New"/>
                <w:sz w:val="24"/>
              </w:rPr>
              <w:t xml:space="preserve">    throw std::runtime_error("save failed");</w:t>
            </w:r>
            <w:r>
              <w:br/>
            </w:r>
            <w:r>
              <w:rPr>
                <w:rFonts w:ascii="Courier New" w:hAnsi="Courier New" w:eastAsia="Courier New"/>
                <w:sz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pPr>
              <w:spacing w:after="0" w:before="0"/>
            </w:pPr>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If failure is expected to be reported by exception, do not promise noexcept. Catch specific exceptions at an application boundary and report a useful error.</w:t>
            </w:r>
          </w:p>
        </w:tc>
      </w:tr>
      <w:tr w:rsidR="00F72634" w14:paraId="5DBE36E7"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saveRecord() {</w:t>
            </w:r>
            <w:r>
              <w:br/>
            </w:r>
            <w:r>
              <w:rPr>
                <w:rFonts w:ascii="Courier New" w:hAnsi="Courier New" w:eastAsia="Courier New"/>
                <w:sz w:val="24"/>
              </w:rPr>
              <w:t xml:space="preserve">    if (!writeRecord()) {</w:t>
            </w:r>
            <w:r>
              <w:br/>
            </w:r>
            <w:r>
              <w:rPr>
                <w:rFonts w:ascii="Courier New" w:hAnsi="Courier New" w:eastAsia="Courier New"/>
                <w:sz w:val="24"/>
              </w:rPr>
              <w:t xml:space="preserve">        throw std::runtime_error("save failed");</w:t>
            </w:r>
            <w:r>
              <w:br/>
            </w:r>
            <w:r>
              <w:rPr>
                <w:rFonts w:ascii="Courier New" w:hAnsi="Courier New" w:eastAsia="Courier New"/>
                <w:sz w:val="24"/>
              </w:rPr>
              <w:t xml:space="preserve">    }</w:t>
            </w:r>
            <w:r>
              <w:br/>
            </w:r>
            <w:r>
              <w:rPr>
                <w:rFonts w:ascii="Courier New" w:hAnsi="Courier New" w:eastAsia="Courier New"/>
                <w:sz w:val="24"/>
              </w:rPr>
              <w:t>}</w:t>
            </w:r>
            <w:r>
              <w:br/>
            </w:r>
            <w:r>
              <w:rPr>
                <w:rFonts w:ascii="Courier New" w:hAnsi="Courier New" w:eastAsia="Courier New"/>
                <w:sz w:val="24"/>
              </w:rPr>
            </w:r>
            <w:r>
              <w:br/>
            </w:r>
            <w:r>
              <w:rPr>
                <w:rFonts w:ascii="Courier New" w:hAnsi="Courier New" w:eastAsia="Courier New"/>
                <w:sz w:val="24"/>
              </w:rPr>
              <w:t>try { saveRecord(); }</w:t>
            </w:r>
            <w:r>
              <w:br/>
            </w:r>
            <w:r>
              <w:rPr>
                <w:rFonts w:ascii="Courier New" w:hAnsi="Courier New" w:eastAsia="Courier New"/>
                <w:sz w:val="24"/>
              </w:rPr>
              <w:t>catch (const std::exception&amp; ex) { log(ex.what()); }</w:t>
            </w:r>
          </w:p>
        </w:tc>
      </w:tr>
    </w:tbl>
    <w:p w14:paraId="654D300E" w14:textId="77777777" w:rsidR="00B475A1" w:rsidRDefault="00B475A1" w:rsidP="00B475A1">
      <w:pPr>
        <w:rPr>
          <w:b/>
        </w:rPr>
      </w:pPr>
    </w:p>
    <w:p w14:paraId="5D3977C1"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3, 4, 8, 9, and 10. Error behavior is designed in advance, exception contracts remain simple and explicit, outer handlers provide defense in depth, tests cover failure paths, and ERR55-CPP supplies the coding rule.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spacing w:after="0" w:before="0"/>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Medium</w:t>
            </w:r>
          </w:p>
        </w:tc>
        <w:tc>
          <w:tcPr>
            <w:tcW w:w="1341" w:type="dxa"/>
            <w:shd w:val="clear" w:color="auto" w:fill="auto"/>
            <w:vAlign w:val="center"/>
          </w:tcPr>
          <w:p>
            <w:pPr>
              <w:spacing w:before="0" w:after="0" w:line="240" w:lineRule="auto"/>
            </w:pPr>
            <w:r/>
            <w:r>
              <w:rPr>
                <w:rFonts w:ascii="Aptos" w:hAnsi="Aptos" w:eastAsia="Aptos"/>
                <w:b w:val="0"/>
                <w:sz w:val="18"/>
              </w:rPr>
              <w:t>Likely</w:t>
            </w:r>
          </w:p>
        </w:tc>
        <w:tc>
          <w:tcPr>
            <w:tcW w:w="4021" w:type="dxa"/>
            <w:shd w:val="clear" w:color="auto" w:fill="auto"/>
            <w:vAlign w:val="center"/>
          </w:tcPr>
          <w:p>
            <w:pPr>
              <w:spacing w:before="0" w:after="0" w:line="240" w:lineRule="auto"/>
            </w:pPr>
            <w:r/>
            <w:r>
              <w:rPr>
                <w:rFonts w:ascii="Aptos" w:hAnsi="Aptos" w:eastAsia="Aptos"/>
                <w:b w:val="0"/>
                <w:sz w:val="18"/>
              </w:rPr>
              <w:t>Low</w:t>
            </w:r>
          </w:p>
        </w:tc>
        <w:tc>
          <w:tcPr>
            <w:tcW w:w="1807" w:type="dxa"/>
            <w:shd w:val="clear" w:color="auto" w:fill="auto"/>
            <w:vAlign w:val="center"/>
          </w:tcPr>
          <w:p>
            <w:pPr>
              <w:spacing w:before="0" w:after="0" w:line="240" w:lineRule="auto"/>
            </w:pPr>
            <w:r/>
            <w:r>
              <w:rPr>
                <w:rFonts w:ascii="Aptos" w:hAnsi="Aptos" w:eastAsia="Aptos"/>
                <w:b/>
                <w:sz w:val="18"/>
              </w:rPr>
              <w:t>High</w:t>
            </w:r>
          </w:p>
        </w:tc>
        <w:tc>
          <w:tcPr>
            <w:tcW w:w="1805" w:type="dxa"/>
            <w:shd w:val="clear" w:color="auto" w:fill="auto"/>
            <w:vAlign w:val="center"/>
          </w:tcPr>
          <w:p>
            <w:pPr>
              <w:spacing w:before="0" w:after="0" w:line="240" w:lineRule="auto"/>
            </w:pPr>
            <w:r/>
            <w:r>
              <w:rPr>
                <w:rFonts w:ascii="Aptos" w:hAnsi="Aptos" w:eastAsia="Aptos"/>
                <w:b/>
                <w:sz w:val="18"/>
              </w:rP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5BBDD4A8"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2025.2</w:t>
            </w:r>
          </w:p>
        </w:tc>
        <w:tc>
          <w:tcPr>
            <w:tcW w:w="4021" w:type="dxa"/>
            <w:shd w:val="clear" w:color="auto" w:fill="auto"/>
            <w:vAlign w:val="center"/>
          </w:tcPr>
          <w:p>
            <w:pPr>
              <w:spacing w:before="0" w:after="0" w:line="240" w:lineRule="auto"/>
            </w:pPr>
            <w:r/>
            <w:r>
              <w:rPr>
                <w:rFonts w:ascii="Aptos" w:hAnsi="Aptos" w:eastAsia="Aptos"/>
                <w:b w:val="0"/>
                <w:sz w:val="17"/>
              </w:rPr>
              <w:t>CERT_CPP-ERR55-a</w:t>
            </w:r>
          </w:p>
        </w:tc>
        <w:tc>
          <w:tcPr>
            <w:tcW w:w="3611" w:type="dxa"/>
            <w:shd w:val="clear" w:color="auto" w:fill="auto"/>
            <w:vAlign w:val="center"/>
          </w:tcPr>
          <w:p>
            <w:pPr>
              <w:spacing w:before="0" w:after="0" w:line="240" w:lineRule="auto"/>
            </w:pPr>
            <w:r/>
            <w:r>
              <w:rPr>
                <w:rFonts w:ascii="Aptos" w:hAnsi="Aptos" w:eastAsia="Aptos"/>
                <w:b w:val="0"/>
                <w:sz w:val="17"/>
              </w:rPr>
              <w:t>Verifies that code honors declared exception specifications.</w:t>
            </w:r>
          </w:p>
        </w:tc>
      </w:tr>
    </w:tbl>
    <w:p w14:paraId="471CFF25" w14:textId="77777777" w:rsidR="00381847" w:rsidRDefault="00E769D9" w:rsidP="0059536C">
      <w:pPr>
        <w:pStyle w:val="Heading4"/>
        <w:pageBreakBefore/>
      </w:pPr>
      <w:bookmarkStart w:id="14" w:name="_Toc52464066"/>
      <w:r>
        <w:rPr>
          <w:b/>
        </w:rPr>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spacing w:after="0" w:before="0"/>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Initialization</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STD-008-CPP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Initialize objects before first use (SEI CERT EXP53-CPP). Local variables, pointers, and class members must have a known value before they are read.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pPr>
              <w:spacing w:after="0" w:before="0"/>
            </w:pPr>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Reading an uninitialized value is undefined behavior and can propagate stale stack data, cause incorrect decisions, or expose information.</w:t>
            </w:r>
          </w:p>
        </w:tc>
      </w:tr>
      <w:tr w:rsidR="00F72634" w14:paraId="1F240B56"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printBalance() {</w:t>
            </w:r>
            <w:r>
              <w:br/>
            </w:r>
            <w:r>
              <w:rPr>
                <w:rFonts w:ascii="Courier New" w:hAnsi="Courier New" w:eastAsia="Courier New"/>
                <w:sz w:val="24"/>
              </w:rPr>
              <w:t xml:space="preserve">    int balance;</w:t>
            </w:r>
            <w:r>
              <w:br/>
            </w:r>
            <w:r>
              <w:rPr>
                <w:rFonts w:ascii="Courier New" w:hAnsi="Courier New" w:eastAsia="Courier New"/>
                <w:sz w:val="24"/>
              </w:rPr>
              <w:t xml:space="preserve">    std::cout &lt;&lt; balance; // uninitialized read</w:t>
            </w:r>
            <w:r>
              <w:br/>
            </w:r>
            <w:r>
              <w:rPr>
                <w:rFonts w:ascii="Courier New" w:hAnsi="Courier New" w:eastAsia="Courier New"/>
                <w:sz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pPr>
              <w:spacing w:after="0" w:before="0"/>
            </w:pPr>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Initialize the value at declaration or in the constructor so every execution path begins with a defined state.</w:t>
            </w:r>
          </w:p>
        </w:tc>
      </w:tr>
      <w:tr w:rsidR="00F72634" w14:paraId="2A6DB0E0"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printBalance() {</w:t>
            </w:r>
            <w:r>
              <w:br/>
            </w:r>
            <w:r>
              <w:rPr>
                <w:rFonts w:ascii="Courier New" w:hAnsi="Courier New" w:eastAsia="Courier New"/>
                <w:sz w:val="24"/>
              </w:rPr>
              <w:t xml:space="preserve">    int balance = 0;</w:t>
            </w:r>
            <w:r>
              <w:br/>
            </w:r>
            <w:r>
              <w:rPr>
                <w:rFonts w:ascii="Courier New" w:hAnsi="Courier New" w:eastAsia="Courier New"/>
                <w:sz w:val="24"/>
              </w:rPr>
              <w:t xml:space="preserve">    std::cout &lt;&lt; balance;</w:t>
            </w:r>
            <w:r>
              <w:br/>
            </w:r>
            <w:r>
              <w:rPr>
                <w:rFonts w:ascii="Courier New" w:hAnsi="Courier New" w:eastAsia="Courier New"/>
                <w:sz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2, 4, 8, 9, and 10. Initialization keeps state simple and deterministic, warnings and SAST detect missed initialization, runtime controls provide another layer, tests cover alternate branches, and EXP53-CPP defines the rule.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spacing w:after="0" w:before="0"/>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High</w:t>
            </w:r>
          </w:p>
        </w:tc>
        <w:tc>
          <w:tcPr>
            <w:tcW w:w="1341" w:type="dxa"/>
            <w:shd w:val="clear" w:color="auto" w:fill="auto"/>
            <w:vAlign w:val="center"/>
          </w:tcPr>
          <w:p>
            <w:pPr>
              <w:spacing w:before="0" w:after="0" w:line="240" w:lineRule="auto"/>
            </w:pPr>
            <w:r/>
            <w:r>
              <w:rPr>
                <w:rFonts w:ascii="Aptos" w:hAnsi="Aptos" w:eastAsia="Aptos"/>
                <w:b w:val="0"/>
                <w:sz w:val="18"/>
              </w:rPr>
              <w:t>Likely</w:t>
            </w:r>
          </w:p>
        </w:tc>
        <w:tc>
          <w:tcPr>
            <w:tcW w:w="4021" w:type="dxa"/>
            <w:shd w:val="clear" w:color="auto" w:fill="auto"/>
            <w:vAlign w:val="center"/>
          </w:tcPr>
          <w:p>
            <w:pPr>
              <w:spacing w:before="0" w:after="0" w:line="240" w:lineRule="auto"/>
            </w:pPr>
            <w:r/>
            <w:r>
              <w:rPr>
                <w:rFonts w:ascii="Aptos" w:hAnsi="Aptos" w:eastAsia="Aptos"/>
                <w:b w:val="0"/>
                <w:sz w:val="18"/>
              </w:rPr>
              <w:t>Low</w:t>
            </w:r>
          </w:p>
        </w:tc>
        <w:tc>
          <w:tcPr>
            <w:tcW w:w="1807" w:type="dxa"/>
            <w:shd w:val="clear" w:color="auto" w:fill="auto"/>
            <w:vAlign w:val="center"/>
          </w:tcPr>
          <w:p>
            <w:pPr>
              <w:spacing w:before="0" w:after="0" w:line="240" w:lineRule="auto"/>
            </w:pPr>
            <w:r/>
            <w:r>
              <w:rPr>
                <w:rFonts w:ascii="Aptos" w:hAnsi="Aptos" w:eastAsia="Aptos"/>
                <w:b/>
                <w:sz w:val="18"/>
              </w:rPr>
              <w:t>High</w:t>
            </w:r>
          </w:p>
        </w:tc>
        <w:tc>
          <w:tcPr>
            <w:tcW w:w="1805" w:type="dxa"/>
            <w:shd w:val="clear" w:color="auto" w:fill="auto"/>
            <w:vAlign w:val="center"/>
          </w:tcPr>
          <w:p>
            <w:pPr>
              <w:spacing w:before="0" w:after="0" w:line="240" w:lineRule="auto"/>
            </w:pPr>
            <w:r/>
            <w:r>
              <w:rPr>
                <w:rFonts w:ascii="Aptos" w:hAnsi="Aptos" w:eastAsia="Aptos"/>
                <w:b/>
                <w:sz w:val="18"/>
              </w:rP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763D0227"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2026.1</w:t>
            </w:r>
          </w:p>
        </w:tc>
        <w:tc>
          <w:tcPr>
            <w:tcW w:w="4021" w:type="dxa"/>
            <w:shd w:val="clear" w:color="auto" w:fill="auto"/>
            <w:vAlign w:val="center"/>
          </w:tcPr>
          <w:p>
            <w:pPr>
              <w:spacing w:before="0" w:after="0" w:line="240" w:lineRule="auto"/>
            </w:pPr>
            <w:r/>
            <w:r>
              <w:rPr>
                <w:rFonts w:ascii="Aptos" w:hAnsi="Aptos" w:eastAsia="Aptos"/>
                <w:b w:val="0"/>
                <w:sz w:val="17"/>
              </w:rPr>
              <w:t>CERT_CPP-EXP53-a</w:t>
            </w:r>
          </w:p>
        </w:tc>
        <w:tc>
          <w:tcPr>
            <w:tcW w:w="3611" w:type="dxa"/>
            <w:shd w:val="clear" w:color="auto" w:fill="auto"/>
            <w:vAlign w:val="center"/>
          </w:tcPr>
          <w:p>
            <w:pPr>
              <w:spacing w:before="0" w:after="0" w:line="240" w:lineRule="auto"/>
            </w:pPr>
            <w:r/>
            <w:r>
              <w:rPr>
                <w:rFonts w:ascii="Aptos" w:hAnsi="Aptos" w:eastAsia="Aptos"/>
                <w:b w:val="0"/>
                <w:sz w:val="17"/>
              </w:rPr>
              <w:t>Detects use before initialization.</w:t>
            </w:r>
          </w:p>
        </w:tc>
      </w:tr>
    </w:tbl>
    <w:p w14:paraId="27E2FD83" w14:textId="77777777" w:rsidR="00381847" w:rsidRDefault="00E769D9" w:rsidP="0059536C">
      <w:pPr>
        <w:pStyle w:val="Heading4"/>
        <w:pageBreakBefore/>
      </w:pPr>
      <w:bookmarkStart w:id="15" w:name="_Toc52464067"/>
      <w:r>
        <w:rPr>
          <w:b/>
        </w:rPr>
        <w:t>Coding Standard 9</w:t>
      </w:r>
      <w:bookmarkEnd w:id="15"/>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spacing w:after="0" w:before="0"/>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File I/O</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STD-009-CPP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Close files and release file resources promptly (SEI CERT FIO51-CPP). File streams should use RAII so cleanup occurs on normal and exceptional paths.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pPr>
              <w:spacing w:after="0" w:before="0"/>
            </w:pPr>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Heap-allocating a file stream and failing to delete or close it can leak file handles and leave buffered output unwritten.</w:t>
            </w:r>
          </w:p>
        </w:tc>
      </w:tr>
      <w:tr w:rsidR="00F72634" w14:paraId="25A0CD90"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writeLog(const std::string&amp; name) {</w:t>
            </w:r>
            <w:r>
              <w:br/>
            </w:r>
            <w:r>
              <w:rPr>
                <w:rFonts w:ascii="Courier New" w:hAnsi="Courier New" w:eastAsia="Courier New"/>
                <w:sz w:val="24"/>
              </w:rPr>
              <w:t xml:space="preserve">    auto* file = new std::ofstream(name);</w:t>
            </w:r>
            <w:r>
              <w:br/>
            </w:r>
            <w:r>
              <w:rPr>
                <w:rFonts w:ascii="Courier New" w:hAnsi="Courier New" w:eastAsia="Courier New"/>
                <w:sz w:val="24"/>
              </w:rPr>
              <w:t xml:space="preserve">    *file &lt;&lt; "audit entry";</w:t>
            </w:r>
            <w:r>
              <w:br/>
            </w:r>
            <w:r>
              <w:rPr>
                <w:rFonts w:ascii="Courier New" w:hAnsi="Courier New" w:eastAsia="Courier New"/>
                <w:sz w:val="24"/>
              </w:rPr>
              <w:t xml:space="preserve">    // leaked stream and file handle</w:t>
            </w:r>
            <w:r>
              <w:br/>
            </w:r>
            <w:r>
              <w:rPr>
                <w:rFonts w:ascii="Courier New" w:hAnsi="Courier New" w:eastAsia="Courier New"/>
                <w:sz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pPr>
              <w:spacing w:after="0" w:before="0"/>
            </w:pPr>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Use an automatic std::ofstream. Its destructor closes the file on every scope exit, including exceptions.</w:t>
            </w:r>
          </w:p>
        </w:tc>
      </w:tr>
      <w:tr w:rsidR="00F72634" w14:paraId="4E6EA6E9"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writeLog(const std::string&amp; name) {</w:t>
            </w:r>
            <w:r>
              <w:br/>
            </w:r>
            <w:r>
              <w:rPr>
                <w:rFonts w:ascii="Courier New" w:hAnsi="Courier New" w:eastAsia="Courier New"/>
                <w:sz w:val="24"/>
              </w:rPr>
              <w:t xml:space="preserve">    std::ofstream file(name);</w:t>
            </w:r>
            <w:r>
              <w:br/>
            </w:r>
            <w:r>
              <w:rPr>
                <w:rFonts w:ascii="Courier New" w:hAnsi="Courier New" w:eastAsia="Courier New"/>
                <w:sz w:val="24"/>
              </w:rPr>
              <w:t xml:space="preserve">    if (!file) throw std::runtime_error("open failed");</w:t>
            </w:r>
            <w:r>
              <w:br/>
            </w:r>
            <w:r>
              <w:rPr>
                <w:rFonts w:ascii="Courier New" w:hAnsi="Courier New" w:eastAsia="Courier New"/>
                <w:sz w:val="24"/>
              </w:rPr>
              <w:t xml:space="preserve">    file &lt;&lt; "audit entry";</w:t>
            </w:r>
            <w:r>
              <w:br/>
            </w:r>
            <w:r>
              <w:rPr>
                <w:rFonts w:ascii="Courier New" w:hAnsi="Courier New" w:eastAsia="Courier New"/>
                <w:sz w:val="24"/>
              </w:rPr>
              <w:t>} // closed automatically</w:t>
            </w:r>
          </w:p>
        </w:tc>
      </w:tr>
    </w:tbl>
    <w:p w14:paraId="06061C9A" w14:textId="77777777" w:rsidR="00B475A1" w:rsidRDefault="00B475A1" w:rsidP="00B475A1">
      <w:pPr>
        <w:rPr>
          <w:b/>
        </w:rPr>
      </w:pPr>
    </w:p>
    <w:p w14:paraId="3383FF43" w14:textId="77777777" w:rsidR="00B475A1" w:rsidRDefault="00B475A1" w:rsidP="00B475A1">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3, 4, 6, 8, 9, and 10. File access is designed with least privilege, RAII keeps cleanup simple, resource monitoring adds defense in depth, tests cover open/write failures, and FIO51-CPP defines the file-lifetime rule.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spacing w:after="0" w:before="0"/>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spacing w:after="0" w:before="0"/>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spacing w:after="0" w:before="0"/>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spacing w:after="0" w:before="0"/>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spacing w:after="0" w:before="0"/>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Medium</w:t>
            </w:r>
          </w:p>
        </w:tc>
        <w:tc>
          <w:tcPr>
            <w:tcW w:w="1341" w:type="dxa"/>
            <w:shd w:val="clear" w:color="auto" w:fill="auto"/>
            <w:vAlign w:val="center"/>
          </w:tcPr>
          <w:p>
            <w:pPr>
              <w:spacing w:before="0" w:after="0" w:line="240" w:lineRule="auto"/>
            </w:pPr>
            <w:r/>
            <w:r>
              <w:rPr>
                <w:rFonts w:ascii="Aptos" w:hAnsi="Aptos" w:eastAsia="Aptos"/>
                <w:b w:val="0"/>
                <w:sz w:val="18"/>
              </w:rPr>
              <w:t>Unlikely</w:t>
            </w:r>
          </w:p>
        </w:tc>
        <w:tc>
          <w:tcPr>
            <w:tcW w:w="4021" w:type="dxa"/>
            <w:shd w:val="clear" w:color="auto" w:fill="auto"/>
            <w:vAlign w:val="center"/>
          </w:tcPr>
          <w:p>
            <w:pPr>
              <w:spacing w:before="0" w:after="0" w:line="240" w:lineRule="auto"/>
            </w:pPr>
            <w:r/>
            <w:r>
              <w:rPr>
                <w:rFonts w:ascii="Aptos" w:hAnsi="Aptos" w:eastAsia="Aptos"/>
                <w:b w:val="0"/>
                <w:sz w:val="18"/>
              </w:rPr>
              <w:t>Low</w:t>
            </w:r>
          </w:p>
        </w:tc>
        <w:tc>
          <w:tcPr>
            <w:tcW w:w="1807" w:type="dxa"/>
            <w:shd w:val="clear" w:color="auto" w:fill="auto"/>
            <w:vAlign w:val="center"/>
          </w:tcPr>
          <w:p>
            <w:pPr>
              <w:spacing w:before="0" w:after="0" w:line="240" w:lineRule="auto"/>
            </w:pPr>
            <w:r/>
            <w:r>
              <w:rPr>
                <w:rFonts w:ascii="Aptos" w:hAnsi="Aptos" w:eastAsia="Aptos"/>
                <w:b/>
                <w:sz w:val="18"/>
              </w:rPr>
              <w:t>Medium</w:t>
            </w:r>
          </w:p>
        </w:tc>
        <w:tc>
          <w:tcPr>
            <w:tcW w:w="1805" w:type="dxa"/>
            <w:shd w:val="clear" w:color="auto" w:fill="auto"/>
            <w:vAlign w:val="center"/>
          </w:tcPr>
          <w:p>
            <w:pPr>
              <w:spacing w:before="0" w:after="0" w:line="240" w:lineRule="auto"/>
            </w:pPr>
            <w:r/>
            <w:r>
              <w:rPr>
                <w:rFonts w:ascii="Aptos" w:hAnsi="Aptos" w:eastAsia="Aptos"/>
                <w:b/>
                <w:sz w:val="18"/>
              </w:rP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spacing w:after="0" w:before="0"/>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spacing w:after="0" w:before="0"/>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B475A1" w14:paraId="21DC6877"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2024.2</w:t>
            </w:r>
          </w:p>
        </w:tc>
        <w:tc>
          <w:tcPr>
            <w:tcW w:w="4021" w:type="dxa"/>
            <w:shd w:val="clear" w:color="auto" w:fill="auto"/>
            <w:vAlign w:val="center"/>
          </w:tcPr>
          <w:p>
            <w:pPr>
              <w:spacing w:before="0" w:after="0" w:line="240" w:lineRule="auto"/>
            </w:pPr>
            <w:r/>
            <w:r>
              <w:rPr>
                <w:rFonts w:ascii="Aptos" w:hAnsi="Aptos" w:eastAsia="Aptos"/>
                <w:b w:val="0"/>
                <w:sz w:val="17"/>
              </w:rPr>
              <w:t>CERT_CPP-FIO51-a</w:t>
            </w:r>
          </w:p>
        </w:tc>
        <w:tc>
          <w:tcPr>
            <w:tcW w:w="3611" w:type="dxa"/>
            <w:shd w:val="clear" w:color="auto" w:fill="auto"/>
            <w:vAlign w:val="center"/>
          </w:tcPr>
          <w:p>
            <w:pPr>
              <w:spacing w:before="0" w:after="0" w:line="240" w:lineRule="auto"/>
            </w:pPr>
            <w:r/>
            <w:r>
              <w:rPr>
                <w:rFonts w:ascii="Aptos" w:hAnsi="Aptos" w:eastAsia="Aptos"/>
                <w:b w:val="0"/>
                <w:sz w:val="17"/>
              </w:rPr>
              <w:t>Detects file/resource paths that are not properly released.</w:t>
            </w:r>
          </w:p>
        </w:tc>
      </w:tr>
    </w:tbl>
    <w:p w14:paraId="5C8284A2" w14:textId="77777777" w:rsidR="00381847" w:rsidRDefault="00E769D9" w:rsidP="0059536C">
      <w:pPr>
        <w:pStyle w:val="Heading4"/>
        <w:pageBreakBefore/>
      </w:pPr>
      <w:bookmarkStart w:id="16" w:name="_Toc52464068"/>
      <w:r>
        <w:rPr>
          <w:b/>
        </w:rPr>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spacing w:after="0" w:before="0"/>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spacing w:after="0" w:before="0"/>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spacing w:after="0" w:before="0"/>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vAlign w:val="center"/>
          </w:tcPr>
          <w:p>
            <w:pPr>
              <w:spacing w:before="0" w:after="0" w:line="240" w:lineRule="auto"/>
            </w:pPr>
            <w:r/>
            <w:r>
              <w:rPr>
                <w:rFonts w:ascii="Aptos" w:hAnsi="Aptos" w:eastAsia="Aptos"/>
                <w:b/>
                <w:sz w:val="20"/>
              </w:rPr>
              <w:t>Concurrency</w:t>
            </w:r>
          </w:p>
        </w:tc>
        <w:tc>
          <w:tcPr>
            <w:tcW w:w="1341" w:type="dxa"/>
            <w:tcMar>
              <w:top w:w="100" w:type="dxa"/>
              <w:left w:w="100" w:type="dxa"/>
              <w:bottom w:w="100" w:type="dxa"/>
              <w:right w:w="100" w:type="dxa"/>
            </w:tcMar>
            <w:vAlign w:val="center"/>
          </w:tcPr>
          <w:p>
            <w:pPr>
              <w:spacing w:before="0" w:after="0" w:line="240" w:lineRule="auto"/>
            </w:pPr>
            <w:r/>
            <w:r>
              <w:rPr>
                <w:rFonts w:ascii="Aptos" w:hAnsi="Aptos" w:eastAsia="Aptos"/>
                <w:b/>
                <w:sz w:val="19"/>
              </w:rPr>
              <w:t>STD-010-CPP</w:t>
            </w:r>
          </w:p>
        </w:tc>
        <w:tc>
          <w:tcPr>
            <w:tcW w:w="7632"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Acquire multiple locks in a consistent predefined order (SEI CERT CON53-CPP). Prefer std::scoped_lock or another approved locking strategy that prevents circular wait.</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pPr>
              <w:spacing w:after="0" w:before="0"/>
            </w:pPr>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Two threads that take the same locks in opposite order can deadlock, preventing either thread from making progress and creating a denial-of-service condition.</w:t>
            </w:r>
          </w:p>
        </w:tc>
      </w:tr>
      <w:tr w:rsidR="00F72634" w14:paraId="23207A43"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 Thread A</w:t>
            </w:r>
            <w:r>
              <w:br/>
            </w:r>
            <w:r>
              <w:rPr>
                <w:rFonts w:ascii="Courier New" w:hAnsi="Courier New" w:eastAsia="Courier New"/>
                <w:sz w:val="24"/>
              </w:rPr>
              <w:t>std::lock_guard&lt;std::mutex&gt; a(lockA);</w:t>
            </w:r>
            <w:r>
              <w:br/>
            </w:r>
            <w:r>
              <w:rPr>
                <w:rFonts w:ascii="Courier New" w:hAnsi="Courier New" w:eastAsia="Courier New"/>
                <w:sz w:val="24"/>
              </w:rPr>
              <w:t>std::lock_guard&lt;std::mutex&gt; b(lockB);</w:t>
            </w:r>
            <w:r>
              <w:br/>
            </w:r>
            <w:r>
              <w:rPr>
                <w:rFonts w:ascii="Courier New" w:hAnsi="Courier New" w:eastAsia="Courier New"/>
                <w:sz w:val="24"/>
              </w:rPr>
            </w:r>
            <w:r>
              <w:br/>
            </w:r>
            <w:r>
              <w:rPr>
                <w:rFonts w:ascii="Courier New" w:hAnsi="Courier New" w:eastAsia="Courier New"/>
                <w:sz w:val="24"/>
              </w:rPr>
              <w:t>// Thread B takes lockB, then lockA (opposite order).</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pPr>
              <w:spacing w:after="0" w:before="0"/>
            </w:pPr>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pPr>
              <w:spacing w:before="0" w:after="0" w:line="240" w:lineRule="auto"/>
            </w:pPr>
            <w:r/>
            <w:r>
              <w:rPr>
                <w:rFonts w:ascii="Aptos" w:hAnsi="Aptos" w:eastAsia="Aptos"/>
                <w:b w:val="0"/>
                <w:sz w:val="18"/>
              </w:rPr>
              <w:t>Acquire the mutexes together using std::scoped_lock, or document and enforce a single global order for all paths.</w:t>
            </w:r>
          </w:p>
        </w:tc>
      </w:tr>
      <w:tr w:rsidR="00F72634" w14:paraId="66F887A3" w14:textId="77777777" w:rsidTr="00001F14">
        <w:trPr>
          <w:trHeight w:val="460"/>
        </w:trPr>
        <w:tc>
          <w:tcPr>
            <w:tcW w:w="10800" w:type="dxa"/>
            <w:tcMar>
              <w:top w:w="100" w:type="dxa"/>
              <w:left w:w="100" w:type="dxa"/>
              <w:bottom w:w="100" w:type="dxa"/>
              <w:right w:w="100" w:type="dxa"/>
            </w:tcMar>
            <w:vAlign w:val="center"/>
          </w:tcPr>
          <w:p>
            <w:pPr>
              <w:spacing w:before="0" w:after="0" w:line="240" w:lineRule="auto"/>
            </w:pPr>
            <w:r/>
            <w:r>
              <w:rPr>
                <w:rFonts w:ascii="Courier New" w:hAnsi="Courier New" w:eastAsia="Courier New"/>
                <w:sz w:val="24"/>
              </w:rPr>
              <w:t>void updateBoth() {</w:t>
            </w:r>
            <w:r>
              <w:br/>
            </w:r>
            <w:r>
              <w:rPr>
                <w:rFonts w:ascii="Courier New" w:hAnsi="Courier New" w:eastAsia="Courier New"/>
                <w:sz w:val="24"/>
              </w:rPr>
              <w:t xml:space="preserve">    std::scoped_lock guard(lockA, lockB);</w:t>
            </w:r>
            <w:r>
              <w:br/>
            </w:r>
            <w:r>
              <w:rPr>
                <w:rFonts w:ascii="Courier New" w:hAnsi="Courier New" w:eastAsia="Courier New"/>
                <w:sz w:val="24"/>
              </w:rPr>
              <w:t xml:space="preserve">    // protected work</w:t>
            </w:r>
            <w:r>
              <w:br/>
            </w:r>
            <w:r>
              <w:rPr>
                <w:rFonts w:ascii="Courier New" w:hAnsi="Courier New" w:eastAsia="Courier New"/>
                <w:sz w:val="24"/>
              </w:rPr>
              <w:t>}</w:t>
            </w:r>
          </w:p>
        </w:tc>
      </w:tr>
    </w:tbl>
    <w:p w14:paraId="67786E73" w14:textId="77777777" w:rsidR="00381847" w:rsidRDefault="00381847">
      <w:pPr>
        <w:rPr>
          <w:b/>
        </w:rPr>
      </w:pPr>
    </w:p>
    <w:p w14:paraId="123223BF" w14:textId="77777777" w:rsidR="00381847" w:rsidRDefault="00E769D9">
      <w:pPr>
        <w:rPr>
          <w:b/>
        </w:rPr>
      </w:pPr>
      <w:r>
        <w:rPr>
          <w:b/>
          <w:sz w:val="19"/>
        </w:rPr>
        <w:t>Project One controls: principle mapping, risk assessment, and automated detection are defined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vAlign w:val="center"/>
          </w:tcPr>
          <w:p>
            <w:pPr>
              <w:spacing w:before="0" w:after="0" w:line="240" w:lineRule="auto"/>
            </w:pPr>
            <w:r/>
            <w:r>
              <w:rPr>
                <w:rFonts w:ascii="Aptos" w:hAnsi="Aptos" w:eastAsia="Aptos"/>
                <w:b w:val="0"/>
                <w:sz w:val="18"/>
              </w:rPr>
              <w:t>Principles 3, 4, 8, 9, and 10. Locking policy is designed before implementation, a simple consistent order avoids cycles, watchdog/monitoring controls add defense in depth, concurrency tests exercise contention, and CON53-CPP provides the rule.</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spacing w:after="0" w:before="0"/>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spacing w:after="0" w:before="0"/>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spacing w:after="0" w:before="0"/>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spacing w:after="0" w:before="0"/>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spacing w:after="0" w:before="0"/>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vAlign w:val="center"/>
          </w:tcPr>
          <w:p>
            <w:pPr>
              <w:spacing w:before="0" w:after="0" w:line="240" w:lineRule="auto"/>
            </w:pPr>
            <w:r/>
            <w:r>
              <w:rPr>
                <w:rFonts w:ascii="Aptos" w:hAnsi="Aptos" w:eastAsia="Aptos"/>
                <w:b/>
                <w:sz w:val="18"/>
              </w:rPr>
              <w:t>Medium</w:t>
            </w:r>
          </w:p>
        </w:tc>
        <w:tc>
          <w:tcPr>
            <w:tcW w:w="1341" w:type="dxa"/>
            <w:shd w:val="clear" w:color="auto" w:fill="auto"/>
            <w:vAlign w:val="center"/>
          </w:tcPr>
          <w:p>
            <w:pPr>
              <w:spacing w:before="0" w:after="0" w:line="240" w:lineRule="auto"/>
            </w:pPr>
            <w:r/>
            <w:r>
              <w:rPr>
                <w:rFonts w:ascii="Aptos" w:hAnsi="Aptos" w:eastAsia="Aptos"/>
                <w:b w:val="0"/>
                <w:sz w:val="18"/>
              </w:rPr>
              <w:t>Likely</w:t>
            </w:r>
          </w:p>
        </w:tc>
        <w:tc>
          <w:tcPr>
            <w:tcW w:w="4021" w:type="dxa"/>
            <w:shd w:val="clear" w:color="auto" w:fill="auto"/>
            <w:vAlign w:val="center"/>
          </w:tcPr>
          <w:p>
            <w:pPr>
              <w:spacing w:before="0" w:after="0" w:line="240" w:lineRule="auto"/>
            </w:pPr>
            <w:r/>
            <w:r>
              <w:rPr>
                <w:rFonts w:ascii="Aptos" w:hAnsi="Aptos" w:eastAsia="Aptos"/>
                <w:b w:val="0"/>
                <w:sz w:val="18"/>
              </w:rPr>
              <w:t>Medium</w:t>
            </w:r>
          </w:p>
        </w:tc>
        <w:tc>
          <w:tcPr>
            <w:tcW w:w="1807" w:type="dxa"/>
            <w:shd w:val="clear" w:color="auto" w:fill="auto"/>
            <w:vAlign w:val="center"/>
          </w:tcPr>
          <w:p>
            <w:pPr>
              <w:spacing w:before="0" w:after="0" w:line="240" w:lineRule="auto"/>
            </w:pPr>
            <w:r/>
            <w:r>
              <w:rPr>
                <w:rFonts w:ascii="Aptos" w:hAnsi="Aptos" w:eastAsia="Aptos"/>
                <w:b/>
                <w:sz w:val="18"/>
              </w:rPr>
              <w:t>High</w:t>
            </w:r>
          </w:p>
        </w:tc>
        <w:tc>
          <w:tcPr>
            <w:tcW w:w="1805" w:type="dxa"/>
            <w:shd w:val="clear" w:color="auto" w:fill="auto"/>
            <w:vAlign w:val="center"/>
          </w:tcPr>
          <w:p>
            <w:pPr>
              <w:spacing w:before="0" w:after="0" w:line="240" w:lineRule="auto"/>
            </w:pPr>
            <w:r/>
            <w:r>
              <w:rPr>
                <w:rFonts w:ascii="Aptos" w:hAnsi="Aptos" w:eastAsia="Aptos"/>
                <w:b/>
                <w:sz w:val="18"/>
              </w:rP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spacing w:after="0" w:before="0"/>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spacing w:after="0" w:before="0"/>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spacing w:after="0" w:before="0"/>
              <w:jc w:val="center"/>
              <w:rPr>
                <w:b/>
                <w:sz w:val="24"/>
                <w:szCs w:val="24"/>
              </w:rPr>
            </w:pPr>
            <w:r>
              <w:rPr>
                <w:b/>
                <w:sz w:val="24"/>
                <w:szCs w:val="24"/>
              </w:rPr>
              <w:t>Checker</w:t>
            </w:r>
          </w:p>
        </w:tc>
        <w:tc>
          <w:tcPr>
            <w:tcW w:w="3611" w:type="dxa"/>
            <w:shd w:val="clear" w:color="auto" w:fill="D9D9D9"/>
            <w:vAlign w:val="center"/>
          </w:tcPr>
          <w:p>
            <w:r>
              <w:t>Description</w:t>
            </w:r>
          </w:p>
        </w:tc>
      </w:tr>
      <w:tr w:rsidR="00381847" w14:paraId="6B2B24EF" w14:textId="77777777" w:rsidTr="00001F14">
        <w:trPr>
          <w:trHeight w:val="460"/>
        </w:trPr>
        <w:tc>
          <w:tcPr>
            <w:tcW w:w="1807" w:type="dxa"/>
            <w:shd w:val="clear" w:color="auto" w:fill="auto"/>
            <w:vAlign w:val="center"/>
          </w:tcPr>
          <w:p>
            <w:pPr>
              <w:spacing w:before="0" w:after="0" w:line="240" w:lineRule="auto"/>
            </w:pPr>
            <w:r/>
            <w:r>
              <w:rPr>
                <w:rFonts w:ascii="Aptos" w:hAnsi="Aptos" w:eastAsia="Aptos"/>
                <w:b w:val="0"/>
                <w:sz w:val="17"/>
              </w:rPr>
              <w:t>Parasoft C/C++test</w:t>
            </w:r>
          </w:p>
        </w:tc>
        <w:tc>
          <w:tcPr>
            <w:tcW w:w="1341" w:type="dxa"/>
            <w:shd w:val="clear" w:color="auto" w:fill="auto"/>
            <w:vAlign w:val="center"/>
          </w:tcPr>
          <w:p>
            <w:pPr>
              <w:spacing w:before="0" w:after="0" w:line="240" w:lineRule="auto"/>
            </w:pPr>
            <w:r/>
            <w:r>
              <w:rPr>
                <w:rFonts w:ascii="Aptos" w:hAnsi="Aptos" w:eastAsia="Aptos"/>
                <w:b w:val="0"/>
                <w:sz w:val="17"/>
              </w:rPr>
              <w:t>2026.1</w:t>
            </w:r>
          </w:p>
        </w:tc>
        <w:tc>
          <w:tcPr>
            <w:tcW w:w="4021" w:type="dxa"/>
            <w:shd w:val="clear" w:color="auto" w:fill="auto"/>
            <w:vAlign w:val="center"/>
          </w:tcPr>
          <w:p>
            <w:pPr>
              <w:spacing w:before="0" w:after="0" w:line="240" w:lineRule="auto"/>
            </w:pPr>
            <w:r/>
            <w:r>
              <w:rPr>
                <w:rFonts w:ascii="Aptos" w:hAnsi="Aptos" w:eastAsia="Aptos"/>
                <w:b w:val="0"/>
                <w:sz w:val="17"/>
              </w:rPr>
              <w:t>CERT_CPP-CON53-a</w:t>
            </w:r>
          </w:p>
        </w:tc>
        <w:tc>
          <w:tcPr>
            <w:tcW w:w="3611" w:type="dxa"/>
            <w:shd w:val="clear" w:color="auto" w:fill="auto"/>
            <w:vAlign w:val="center"/>
          </w:tcPr>
          <w:p>
            <w:pPr>
              <w:spacing w:before="0" w:after="0" w:line="240" w:lineRule="auto"/>
            </w:pPr>
            <w:r/>
            <w:r>
              <w:rPr>
                <w:rFonts w:ascii="Aptos" w:hAnsi="Aptos" w:eastAsia="Aptos"/>
                <w:b w:val="0"/>
                <w:sz w:val="17"/>
              </w:rPr>
              <w:t>Detects inconsistent lock acquisition order.</w:t>
            </w:r>
          </w:p>
        </w:tc>
      </w:tr>
    </w:tbl>
    <w:p w14:paraId="1393827A" w14:textId="77777777" w:rsidR="00381847" w:rsidRDefault="00E769D9" w:rsidP="0059536C">
      <w:pPr>
        <w:pStyle w:val="Heading3"/>
        <w:pageBreakBefore/>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rPr>
          <w:b/>
        </w:rPr>
        <w:t>Security Policy Implementation</w:t>
      </w:r>
      <w:bookmarkEnd w:id="18"/>
    </w:p>
    <w:p w14:paraId="4A732D14" w14:textId="77777777" w:rsidR="00381847" w:rsidRDefault="00E769D9">
      <w:pPr>
        <w:rPr>
          <w:sz w:val="22"/>
          <w:szCs w:val="22"/>
        </w:rPr>
      </w:pPr>
      <w:r>
        <w:rPr>
          <w:b w:val="0"/>
          <w:sz w:val="22"/>
          <w:szCs w:val="22"/>
        </w:rPr>
        <w:t>The completed policy below integrates risk-based coding standards, automated enforcement, encryption, Triple-A controls, and defense in depth into Green Pace's DevSecOps process.</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rPr>
          <w:b/>
        </w:rPr>
        <w:t>C/C++ Standards Baseline</w:t>
      </w:r>
      <w:bookmarkEnd w:id="19"/>
    </w:p>
    <w:p w14:paraId="5C660E59" w14:textId="77777777" w:rsidR="00381847" w:rsidRDefault="00E769D9">
      <w:pPr>
        <w:ind w:left="720"/>
        <w:rPr>
          <w:sz w:val="22"/>
          <w:szCs w:val="22"/>
        </w:rPr>
      </w:pPr>
      <w:r>
        <w:rPr>
          <w:b w:val="0"/>
          <w:sz w:val="22"/>
          <w:szCs w:val="22"/>
        </w:rPr>
        <w:t>The ten standards above are the approved C/C++ baseline. Teams must use the compliant patterns as the default, document any approved exceptions, and revise examples when new vulnerabilities or safer language/library features are identified.</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rPr>
          <w:b/>
        </w:rPr>
        <w:t>Risk Assessment</w:t>
      </w:r>
      <w:bookmarkEnd w:id="20"/>
    </w:p>
    <w:p w14:paraId="2CE09CB6" w14:textId="77777777" w:rsidR="00381847" w:rsidRDefault="00E769D9">
      <w:pPr>
        <w:ind w:left="720"/>
        <w:rPr>
          <w:sz w:val="22"/>
          <w:szCs w:val="22"/>
        </w:rPr>
      </w:pPr>
      <w:r>
        <w:rPr>
          <w:b w:val="0"/>
          <w:sz w:val="22"/>
          <w:szCs w:val="22"/>
        </w:rPr>
        <w:t>Each coding standard is rated for severity, likelihood, remediation cost, priority, and an overall Green Pace threat level from 1 to 5, where 5 is the greatest threat. Ratings guide remediation deadlines and release-gate decisions.</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rPr>
          <w:b/>
        </w:rPr>
        <w:t>Automated Detection</w:t>
      </w:r>
      <w:bookmarkEnd w:id="21"/>
    </w:p>
    <w:p w14:paraId="3B814C98" w14:textId="77777777" w:rsidR="00381847" w:rsidRDefault="00E769D9">
      <w:pPr>
        <w:ind w:left="720"/>
        <w:rPr>
          <w:sz w:val="22"/>
          <w:szCs w:val="22"/>
        </w:rPr>
      </w:pPr>
      <w:r>
        <w:rPr>
          <w:b w:val="0"/>
          <w:sz w:val="22"/>
          <w:szCs w:val="22"/>
        </w:rPr>
        <w:t>Static analyzers and security scanners are mapped to each standard. Tool versions and checker IDs must be pinned in CI, reviewed at least quarterly, and updated through change control so results remain reproducible and auditable.</w:t>
      </w:r>
    </w:p>
    <w:p w14:paraId="6A644573" w14:textId="77777777" w:rsidR="00381847" w:rsidRDefault="00381847">
      <w:pPr>
        <w:ind w:left="720"/>
      </w:pPr>
    </w:p>
    <w:p w14:paraId="23C92BA3" w14:textId="77777777" w:rsidR="00381847" w:rsidRDefault="00E769D9" w:rsidP="0059536C">
      <w:pPr>
        <w:pStyle w:val="Heading3"/>
      </w:pPr>
      <w:bookmarkStart w:id="22" w:name="_Toc52464074"/>
      <w:r>
        <w:rPr>
          <w:b/>
        </w:rPr>
        <w:t>Automation in the DevSecOps Pipeline</w:t>
      </w:r>
      <w:bookmarkEnd w:id="22"/>
    </w:p>
    <w:p w14:paraId="779BE467" w14:textId="77777777" w:rsidR="00381847" w:rsidRPr="009B710E" w:rsidRDefault="00E769D9">
      <w:pPr>
        <w:ind w:left="720"/>
        <w:rPr>
          <w:sz w:val="22"/>
          <w:szCs w:val="22"/>
        </w:rPr>
      </w:pPr>
      <w:r w:rsidRPr="009B710E">
        <w:rPr>
          <w:b w:val="0"/>
          <w:sz w:val="22"/>
          <w:szCs w:val="22"/>
        </w:rPr>
        <w:t>Automation is applied throughout the pipeline rather than only before release. The implementation guidance below follows the Plan, Create, Verify, Pre-Production, Release, Prevent, Detect, Respond, Predict, and Adapt stages shown in the Green Pace DevSecOps diagram.</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rPr>
          <w:b w:val="0"/>
        </w:rPr>
        <w:t>Green Pace will shift security checks left while keeping runtime feedback loops. During Plan, teams perform threat modeling, define data classifications, and identify security debt. During Create, IDE/compiler warnings and secure coding rules provide immediate developer feedback. During Verify, CI runs SAST and code-quality gates using approved analyzers such as Cppcheck, Parasoft C/C++test, and CodeQL; dependency/SCA checks run in the same build. High-severity findings block merge or release unless an approved exception exists.</w:t>
      </w:r>
    </w:p>
    <w:p w14:paraId="07184003" w14:textId="77777777" w:rsidR="00381847" w:rsidRDefault="00381847">
      <w:pPr>
        <w:ind w:left="720"/>
      </w:pPr>
    </w:p>
    <w:p w14:paraId="485C7819" w14:textId="77777777" w:rsidR="00381847" w:rsidRDefault="00E769D9">
      <w:pPr>
        <w:ind w:left="720"/>
      </w:pPr>
      <w:r>
        <w:rPr>
          <w:b w:val="0"/>
        </w:rPr>
        <w:t>During Pre-Production, automated unit, integration, negative-input, fuzz, and dynamic tests verify that controls work under abnormal conditions. Release artifacts must be signed and traceable to a passing build. Prevent and Detect layers include least privilege, encryption, WAF/RASP where appropriate, centralized application/database audit logs, and continuous monitoring. Respond, Predict, and Adapt feed incident findings, penetration-test results, and recurring defects back into threat models, test suites, coding rules, and security-debt backlogs. This continuous loop provides audit evidence and prevents security from being left until the end of development.</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rPr>
          <w:b w:val="0"/>
        </w:rPr>
        <w:t>The following table consolidates the ten approved coding-standard risk assessments. Green Pace uses this table to prioritize remediation and to define CI/CD release gates.</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spacing w:after="0" w:before="0"/>
              <w:jc w:val="center"/>
              <w:rPr>
                <w:color w:val="000000"/>
              </w:rPr>
            </w:pPr>
            <w:r>
              <w:rPr>
                <w:color w:val="000000"/>
              </w:rPr>
              <w:t>Rule</w:t>
            </w:r>
          </w:p>
        </w:tc>
        <w:tc>
          <w:tcPr>
            <w:tcW w:w="1434" w:type="dxa"/>
            <w:shd w:val="clear" w:color="auto" w:fill="D9D9D9"/>
          </w:tcPr>
          <w:p w14:paraId="267B808D" w14:textId="77777777" w:rsidR="00381847" w:rsidRDefault="00E769D9">
            <w:pPr>
              <w:spacing w:after="0" w:before="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spacing w:after="0" w:before="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spacing w:after="0" w:before="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spacing w:after="0" w:before="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spacing w:after="0" w:before="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0" w:after="0" w:line="240" w:lineRule="auto"/>
            </w:pPr>
            <w:r/>
            <w:r>
              <w:rPr>
                <w:rFonts w:ascii="Aptos" w:hAnsi="Aptos" w:eastAsia="Aptos"/>
                <w:b/>
                <w:sz w:val="18"/>
              </w:rPr>
              <w:t>STD-001-CPP</w:t>
            </w:r>
          </w:p>
        </w:tc>
        <w:tc>
          <w:tcPr>
            <w:tcW w:w="1434" w:type="dxa"/>
            <w:vAlign w:val="center"/>
          </w:tcPr>
          <w:p>
            <w:pPr>
              <w:spacing w:before="0" w:after="0" w:line="240" w:lineRule="auto"/>
            </w:pPr>
            <w:r/>
            <w:r>
              <w:rPr>
                <w:rFonts w:ascii="Aptos" w:hAnsi="Aptos" w:eastAsia="Aptos"/>
                <w:b/>
                <w:sz w:val="18"/>
              </w:rPr>
              <w:t>Medium</w:t>
            </w:r>
          </w:p>
        </w:tc>
        <w:tc>
          <w:tcPr>
            <w:tcW w:w="1349" w:type="dxa"/>
            <w:vAlign w:val="center"/>
          </w:tcPr>
          <w:p>
            <w:pPr>
              <w:spacing w:before="0" w:after="0" w:line="240" w:lineRule="auto"/>
            </w:pPr>
            <w:r/>
            <w:r>
              <w:rPr>
                <w:rFonts w:ascii="Aptos" w:hAnsi="Aptos" w:eastAsia="Aptos"/>
                <w:b w:val="0"/>
                <w:sz w:val="18"/>
              </w:rPr>
              <w:t>Unlikely</w:t>
            </w:r>
          </w:p>
        </w:tc>
        <w:tc>
          <w:tcPr>
            <w:tcW w:w="1856" w:type="dxa"/>
            <w:vAlign w:val="center"/>
          </w:tcPr>
          <w:p>
            <w:pPr>
              <w:spacing w:before="0" w:after="0" w:line="240" w:lineRule="auto"/>
            </w:pPr>
            <w:r/>
            <w:r>
              <w:rPr>
                <w:rFonts w:ascii="Aptos" w:hAnsi="Aptos" w:eastAsia="Aptos"/>
                <w:b w:val="0"/>
                <w:sz w:val="18"/>
              </w:rPr>
              <w:t>Low</w:t>
            </w:r>
          </w:p>
        </w:tc>
        <w:tc>
          <w:tcPr>
            <w:tcW w:w="2041" w:type="dxa"/>
            <w:vAlign w:val="center"/>
          </w:tcPr>
          <w:p>
            <w:pPr>
              <w:spacing w:before="0" w:after="0" w:line="240" w:lineRule="auto"/>
            </w:pPr>
            <w:r/>
            <w:r>
              <w:rPr>
                <w:rFonts w:ascii="Aptos" w:hAnsi="Aptos" w:eastAsia="Aptos"/>
                <w:b/>
                <w:sz w:val="18"/>
              </w:rPr>
              <w:t>Medium</w:t>
            </w:r>
          </w:p>
        </w:tc>
        <w:tc>
          <w:tcPr>
            <w:tcW w:w="2680" w:type="dxa"/>
            <w:vAlign w:val="center"/>
          </w:tcPr>
          <w:p>
            <w:pPr>
              <w:spacing w:before="0" w:after="0" w:line="240" w:lineRule="auto"/>
            </w:pPr>
            <w:r/>
            <w:r>
              <w:rPr>
                <w:rFonts w:ascii="Aptos" w:hAnsi="Aptos" w:eastAsia="Aptos"/>
                <w:b/>
                <w:sz w:val="18"/>
              </w:rP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0" w:after="0" w:line="240" w:lineRule="auto"/>
            </w:pPr>
            <w:r/>
            <w:r>
              <w:rPr>
                <w:rFonts w:ascii="Aptos" w:hAnsi="Aptos" w:eastAsia="Aptos"/>
                <w:b/>
                <w:sz w:val="18"/>
              </w:rPr>
              <w:t>STD-002-CPP</w:t>
            </w:r>
          </w:p>
        </w:tc>
        <w:tc>
          <w:tcPr>
            <w:tcW w:w="1434" w:type="dxa"/>
            <w:vAlign w:val="center"/>
          </w:tcPr>
          <w:p>
            <w:pPr>
              <w:spacing w:before="0" w:after="0" w:line="240" w:lineRule="auto"/>
            </w:pPr>
            <w:r/>
            <w:r>
              <w:rPr>
                <w:rFonts w:ascii="Aptos" w:hAnsi="Aptos" w:eastAsia="Aptos"/>
                <w:b/>
                <w:sz w:val="18"/>
              </w:rPr>
              <w:t>Medium</w:t>
            </w:r>
          </w:p>
        </w:tc>
        <w:tc>
          <w:tcPr>
            <w:tcW w:w="1349" w:type="dxa"/>
            <w:vAlign w:val="center"/>
          </w:tcPr>
          <w:p>
            <w:pPr>
              <w:spacing w:before="0" w:after="0" w:line="240" w:lineRule="auto"/>
            </w:pPr>
            <w:r/>
            <w:r>
              <w:rPr>
                <w:rFonts w:ascii="Aptos" w:hAnsi="Aptos" w:eastAsia="Aptos"/>
                <w:b w:val="0"/>
                <w:sz w:val="18"/>
              </w:rPr>
              <w:t>Unlikely</w:t>
            </w:r>
          </w:p>
        </w:tc>
        <w:tc>
          <w:tcPr>
            <w:tcW w:w="1856" w:type="dxa"/>
            <w:vAlign w:val="center"/>
          </w:tcPr>
          <w:p>
            <w:pPr>
              <w:spacing w:before="0" w:after="0" w:line="240" w:lineRule="auto"/>
            </w:pPr>
            <w:r/>
            <w:r>
              <w:rPr>
                <w:rFonts w:ascii="Aptos" w:hAnsi="Aptos" w:eastAsia="Aptos"/>
                <w:b w:val="0"/>
                <w:sz w:val="18"/>
              </w:rPr>
              <w:t>Low</w:t>
            </w:r>
          </w:p>
        </w:tc>
        <w:tc>
          <w:tcPr>
            <w:tcW w:w="2041" w:type="dxa"/>
            <w:vAlign w:val="center"/>
          </w:tcPr>
          <w:p>
            <w:pPr>
              <w:spacing w:before="0" w:after="0" w:line="240" w:lineRule="auto"/>
            </w:pPr>
            <w:r/>
            <w:r>
              <w:rPr>
                <w:rFonts w:ascii="Aptos" w:hAnsi="Aptos" w:eastAsia="Aptos"/>
                <w:b/>
                <w:sz w:val="18"/>
              </w:rPr>
              <w:t>Medium</w:t>
            </w:r>
          </w:p>
        </w:tc>
        <w:tc>
          <w:tcPr>
            <w:tcW w:w="2680" w:type="dxa"/>
            <w:vAlign w:val="center"/>
          </w:tcPr>
          <w:p>
            <w:pPr>
              <w:spacing w:before="0" w:after="0" w:line="240" w:lineRule="auto"/>
            </w:pPr>
            <w:r/>
            <w:r>
              <w:rPr>
                <w:rFonts w:ascii="Aptos" w:hAnsi="Aptos" w:eastAsia="Aptos"/>
                <w:b/>
                <w:sz w:val="18"/>
              </w:rPr>
              <w:t>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0" w:after="0" w:line="240" w:lineRule="auto"/>
            </w:pPr>
            <w:r/>
            <w:r>
              <w:rPr>
                <w:rFonts w:ascii="Aptos" w:hAnsi="Aptos" w:eastAsia="Aptos"/>
                <w:b/>
                <w:sz w:val="18"/>
              </w:rPr>
              <w:t>STD-003-CPP</w:t>
            </w:r>
          </w:p>
        </w:tc>
        <w:tc>
          <w:tcPr>
            <w:tcW w:w="1434" w:type="dxa"/>
            <w:vAlign w:val="center"/>
          </w:tcPr>
          <w:p>
            <w:pPr>
              <w:spacing w:before="0" w:after="0" w:line="240" w:lineRule="auto"/>
            </w:pPr>
            <w:r/>
            <w:r>
              <w:rPr>
                <w:rFonts w:ascii="Aptos" w:hAnsi="Aptos" w:eastAsia="Aptos"/>
                <w:b/>
                <w:sz w:val="18"/>
              </w:rPr>
              <w:t>High</w:t>
            </w:r>
          </w:p>
        </w:tc>
        <w:tc>
          <w:tcPr>
            <w:tcW w:w="1349" w:type="dxa"/>
            <w:vAlign w:val="center"/>
          </w:tcPr>
          <w:p>
            <w:pPr>
              <w:spacing w:before="0" w:after="0" w:line="240" w:lineRule="auto"/>
            </w:pPr>
            <w:r/>
            <w:r>
              <w:rPr>
                <w:rFonts w:ascii="Aptos" w:hAnsi="Aptos" w:eastAsia="Aptos"/>
                <w:b w:val="0"/>
                <w:sz w:val="18"/>
              </w:rPr>
              <w:t>Unlikely</w:t>
            </w:r>
          </w:p>
        </w:tc>
        <w:tc>
          <w:tcPr>
            <w:tcW w:w="1856" w:type="dxa"/>
            <w:vAlign w:val="center"/>
          </w:tcPr>
          <w:p>
            <w:pPr>
              <w:spacing w:before="0" w:after="0" w:line="240" w:lineRule="auto"/>
            </w:pPr>
            <w:r/>
            <w:r>
              <w:rPr>
                <w:rFonts w:ascii="Aptos" w:hAnsi="Aptos" w:eastAsia="Aptos"/>
                <w:b w:val="0"/>
                <w:sz w:val="18"/>
              </w:rPr>
              <w:t>Medium</w:t>
            </w:r>
          </w:p>
        </w:tc>
        <w:tc>
          <w:tcPr>
            <w:tcW w:w="2041" w:type="dxa"/>
            <w:vAlign w:val="center"/>
          </w:tcPr>
          <w:p>
            <w:pPr>
              <w:spacing w:before="0" w:after="0" w:line="240" w:lineRule="auto"/>
            </w:pPr>
            <w:r/>
            <w:r>
              <w:rPr>
                <w:rFonts w:ascii="Aptos" w:hAnsi="Aptos" w:eastAsia="Aptos"/>
                <w:b/>
                <w:sz w:val="18"/>
              </w:rPr>
              <w:t>High</w:t>
            </w:r>
          </w:p>
        </w:tc>
        <w:tc>
          <w:tcPr>
            <w:tcW w:w="2680" w:type="dxa"/>
            <w:vAlign w:val="center"/>
          </w:tcPr>
          <w:p>
            <w:pPr>
              <w:spacing w:before="0" w:after="0" w:line="240" w:lineRule="auto"/>
            </w:pPr>
            <w:r/>
            <w:r>
              <w:rPr>
                <w:rFonts w:ascii="Aptos" w:hAnsi="Aptos" w:eastAsia="Aptos"/>
                <w:b/>
                <w:sz w:val="18"/>
              </w:rP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0" w:after="0" w:line="240" w:lineRule="auto"/>
            </w:pPr>
            <w:r/>
            <w:r>
              <w:rPr>
                <w:rFonts w:ascii="Aptos" w:hAnsi="Aptos" w:eastAsia="Aptos"/>
                <w:b/>
                <w:sz w:val="18"/>
              </w:rPr>
              <w:t>STD-004-CPP</w:t>
            </w:r>
          </w:p>
        </w:tc>
        <w:tc>
          <w:tcPr>
            <w:tcW w:w="1434" w:type="dxa"/>
            <w:vAlign w:val="center"/>
          </w:tcPr>
          <w:p>
            <w:pPr>
              <w:spacing w:before="0" w:after="0" w:line="240" w:lineRule="auto"/>
            </w:pPr>
            <w:r/>
            <w:r>
              <w:rPr>
                <w:rFonts w:ascii="Aptos" w:hAnsi="Aptos" w:eastAsia="Aptos"/>
                <w:b/>
                <w:sz w:val="18"/>
              </w:rPr>
              <w:t>High</w:t>
            </w:r>
          </w:p>
        </w:tc>
        <w:tc>
          <w:tcPr>
            <w:tcW w:w="1349" w:type="dxa"/>
            <w:vAlign w:val="center"/>
          </w:tcPr>
          <w:p>
            <w:pPr>
              <w:spacing w:before="0" w:after="0" w:line="240" w:lineRule="auto"/>
            </w:pPr>
            <w:r/>
            <w:r>
              <w:rPr>
                <w:rFonts w:ascii="Aptos" w:hAnsi="Aptos" w:eastAsia="Aptos"/>
                <w:b w:val="0"/>
                <w:sz w:val="18"/>
              </w:rPr>
              <w:t>Likely</w:t>
            </w:r>
          </w:p>
        </w:tc>
        <w:tc>
          <w:tcPr>
            <w:tcW w:w="1856" w:type="dxa"/>
            <w:vAlign w:val="center"/>
          </w:tcPr>
          <w:p>
            <w:pPr>
              <w:spacing w:before="0" w:after="0" w:line="240" w:lineRule="auto"/>
            </w:pPr>
            <w:r/>
            <w:r>
              <w:rPr>
                <w:rFonts w:ascii="Aptos" w:hAnsi="Aptos" w:eastAsia="Aptos"/>
                <w:b w:val="0"/>
                <w:sz w:val="18"/>
              </w:rPr>
              <w:t>Medium</w:t>
            </w:r>
          </w:p>
        </w:tc>
        <w:tc>
          <w:tcPr>
            <w:tcW w:w="2041" w:type="dxa"/>
            <w:vAlign w:val="center"/>
          </w:tcPr>
          <w:p>
            <w:pPr>
              <w:spacing w:before="0" w:after="0" w:line="240" w:lineRule="auto"/>
            </w:pPr>
            <w:r/>
            <w:r>
              <w:rPr>
                <w:rFonts w:ascii="Aptos" w:hAnsi="Aptos" w:eastAsia="Aptos"/>
                <w:b/>
                <w:sz w:val="18"/>
              </w:rPr>
              <w:t>High</w:t>
            </w:r>
          </w:p>
        </w:tc>
        <w:tc>
          <w:tcPr>
            <w:tcW w:w="2680" w:type="dxa"/>
            <w:vAlign w:val="center"/>
          </w:tcPr>
          <w:p>
            <w:pPr>
              <w:spacing w:before="0" w:after="0" w:line="240" w:lineRule="auto"/>
            </w:pPr>
            <w:r/>
            <w:r>
              <w:rPr>
                <w:rFonts w:ascii="Aptos" w:hAnsi="Aptos" w:eastAsia="Aptos"/>
                <w:b/>
                <w:sz w:val="18"/>
              </w:rP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0" w:after="0" w:line="240" w:lineRule="auto"/>
            </w:pPr>
            <w:r/>
            <w:r>
              <w:rPr>
                <w:rFonts w:ascii="Aptos" w:hAnsi="Aptos" w:eastAsia="Aptos"/>
                <w:b/>
                <w:sz w:val="18"/>
              </w:rPr>
              <w:t>STD-005-CPP</w:t>
            </w:r>
          </w:p>
        </w:tc>
        <w:tc>
          <w:tcPr>
            <w:tcW w:w="1434" w:type="dxa"/>
            <w:vAlign w:val="center"/>
          </w:tcPr>
          <w:p>
            <w:pPr>
              <w:spacing w:before="0" w:after="0" w:line="240" w:lineRule="auto"/>
            </w:pPr>
            <w:r/>
            <w:r>
              <w:rPr>
                <w:rFonts w:ascii="Aptos" w:hAnsi="Aptos" w:eastAsia="Aptos"/>
                <w:b/>
                <w:sz w:val="18"/>
              </w:rPr>
              <w:t>High</w:t>
            </w:r>
          </w:p>
        </w:tc>
        <w:tc>
          <w:tcPr>
            <w:tcW w:w="1349" w:type="dxa"/>
            <w:vAlign w:val="center"/>
          </w:tcPr>
          <w:p>
            <w:pPr>
              <w:spacing w:before="0" w:after="0" w:line="240" w:lineRule="auto"/>
            </w:pPr>
            <w:r/>
            <w:r>
              <w:rPr>
                <w:rFonts w:ascii="Aptos" w:hAnsi="Aptos" w:eastAsia="Aptos"/>
                <w:b w:val="0"/>
                <w:sz w:val="18"/>
              </w:rPr>
              <w:t>Likely</w:t>
            </w:r>
          </w:p>
        </w:tc>
        <w:tc>
          <w:tcPr>
            <w:tcW w:w="1856" w:type="dxa"/>
            <w:vAlign w:val="center"/>
          </w:tcPr>
          <w:p>
            <w:pPr>
              <w:spacing w:before="0" w:after="0" w:line="240" w:lineRule="auto"/>
            </w:pPr>
            <w:r/>
            <w:r>
              <w:rPr>
                <w:rFonts w:ascii="Aptos" w:hAnsi="Aptos" w:eastAsia="Aptos"/>
                <w:b w:val="0"/>
                <w:sz w:val="18"/>
              </w:rPr>
              <w:t>Medium</w:t>
            </w:r>
          </w:p>
        </w:tc>
        <w:tc>
          <w:tcPr>
            <w:tcW w:w="2041" w:type="dxa"/>
            <w:vAlign w:val="center"/>
          </w:tcPr>
          <w:p>
            <w:pPr>
              <w:spacing w:before="0" w:after="0" w:line="240" w:lineRule="auto"/>
            </w:pPr>
            <w:r/>
            <w:r>
              <w:rPr>
                <w:rFonts w:ascii="Aptos" w:hAnsi="Aptos" w:eastAsia="Aptos"/>
                <w:b/>
                <w:sz w:val="18"/>
              </w:rPr>
              <w:t>High</w:t>
            </w:r>
          </w:p>
        </w:tc>
        <w:tc>
          <w:tcPr>
            <w:tcW w:w="2680" w:type="dxa"/>
            <w:vAlign w:val="center"/>
          </w:tcPr>
          <w:p>
            <w:pPr>
              <w:spacing w:before="0" w:after="0" w:line="240" w:lineRule="auto"/>
            </w:pPr>
            <w:r/>
            <w:r>
              <w:rPr>
                <w:rFonts w:ascii="Aptos" w:hAnsi="Aptos" w:eastAsia="Aptos"/>
                <w:b/>
                <w:sz w:val="18"/>
              </w:rP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0" w:after="0" w:line="240" w:lineRule="auto"/>
            </w:pPr>
            <w:r/>
            <w:r>
              <w:rPr>
                <w:rFonts w:ascii="Aptos" w:hAnsi="Aptos" w:eastAsia="Aptos"/>
                <w:b/>
                <w:sz w:val="18"/>
              </w:rPr>
              <w:t>STD-006-CPP</w:t>
            </w:r>
          </w:p>
        </w:tc>
        <w:tc>
          <w:tcPr>
            <w:tcW w:w="1434" w:type="dxa"/>
            <w:vAlign w:val="center"/>
          </w:tcPr>
          <w:p>
            <w:pPr>
              <w:spacing w:before="0" w:after="0" w:line="240" w:lineRule="auto"/>
            </w:pPr>
            <w:r/>
            <w:r>
              <w:rPr>
                <w:rFonts w:ascii="Aptos" w:hAnsi="Aptos" w:eastAsia="Aptos"/>
                <w:b/>
                <w:sz w:val="18"/>
              </w:rPr>
              <w:t>Medium</w:t>
            </w:r>
          </w:p>
        </w:tc>
        <w:tc>
          <w:tcPr>
            <w:tcW w:w="1349" w:type="dxa"/>
            <w:vAlign w:val="center"/>
          </w:tcPr>
          <w:p>
            <w:pPr>
              <w:spacing w:before="0" w:after="0" w:line="240" w:lineRule="auto"/>
            </w:pPr>
            <w:r/>
            <w:r>
              <w:rPr>
                <w:rFonts w:ascii="Aptos" w:hAnsi="Aptos" w:eastAsia="Aptos"/>
                <w:b w:val="0"/>
                <w:sz w:val="18"/>
              </w:rPr>
              <w:t>Unlikely</w:t>
            </w:r>
          </w:p>
        </w:tc>
        <w:tc>
          <w:tcPr>
            <w:tcW w:w="1856" w:type="dxa"/>
            <w:vAlign w:val="center"/>
          </w:tcPr>
          <w:p>
            <w:pPr>
              <w:spacing w:before="0" w:after="0" w:line="240" w:lineRule="auto"/>
            </w:pPr>
            <w:r/>
            <w:r>
              <w:rPr>
                <w:rFonts w:ascii="Aptos" w:hAnsi="Aptos" w:eastAsia="Aptos"/>
                <w:b w:val="0"/>
                <w:sz w:val="18"/>
              </w:rPr>
              <w:t>Low</w:t>
            </w:r>
          </w:p>
        </w:tc>
        <w:tc>
          <w:tcPr>
            <w:tcW w:w="2041" w:type="dxa"/>
            <w:vAlign w:val="center"/>
          </w:tcPr>
          <w:p>
            <w:pPr>
              <w:spacing w:before="0" w:after="0" w:line="240" w:lineRule="auto"/>
            </w:pPr>
            <w:r/>
            <w:r>
              <w:rPr>
                <w:rFonts w:ascii="Aptos" w:hAnsi="Aptos" w:eastAsia="Aptos"/>
                <w:b/>
                <w:sz w:val="18"/>
              </w:rPr>
              <w:t>Medium</w:t>
            </w:r>
          </w:p>
        </w:tc>
        <w:tc>
          <w:tcPr>
            <w:tcW w:w="2680" w:type="dxa"/>
            <w:vAlign w:val="center"/>
          </w:tcPr>
          <w:p>
            <w:pPr>
              <w:spacing w:before="0" w:after="0" w:line="240" w:lineRule="auto"/>
            </w:pPr>
            <w:r/>
            <w:r>
              <w:rPr>
                <w:rFonts w:ascii="Aptos" w:hAnsi="Aptos" w:eastAsia="Aptos"/>
                <w:b/>
                <w:sz w:val="18"/>
              </w:rP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0" w:after="0" w:line="240" w:lineRule="auto"/>
            </w:pPr>
            <w:r/>
            <w:r>
              <w:rPr>
                <w:rFonts w:ascii="Aptos" w:hAnsi="Aptos" w:eastAsia="Aptos"/>
                <w:b/>
                <w:sz w:val="18"/>
              </w:rPr>
              <w:t>STD-007-CPP</w:t>
            </w:r>
          </w:p>
        </w:tc>
        <w:tc>
          <w:tcPr>
            <w:tcW w:w="1434" w:type="dxa"/>
            <w:vAlign w:val="center"/>
          </w:tcPr>
          <w:p>
            <w:pPr>
              <w:spacing w:before="0" w:after="0" w:line="240" w:lineRule="auto"/>
            </w:pPr>
            <w:r/>
            <w:r>
              <w:rPr>
                <w:rFonts w:ascii="Aptos" w:hAnsi="Aptos" w:eastAsia="Aptos"/>
                <w:b/>
                <w:sz w:val="18"/>
              </w:rPr>
              <w:t>Medium</w:t>
            </w:r>
          </w:p>
        </w:tc>
        <w:tc>
          <w:tcPr>
            <w:tcW w:w="1349" w:type="dxa"/>
            <w:vAlign w:val="center"/>
          </w:tcPr>
          <w:p>
            <w:pPr>
              <w:spacing w:before="0" w:after="0" w:line="240" w:lineRule="auto"/>
            </w:pPr>
            <w:r/>
            <w:r>
              <w:rPr>
                <w:rFonts w:ascii="Aptos" w:hAnsi="Aptos" w:eastAsia="Aptos"/>
                <w:b w:val="0"/>
                <w:sz w:val="18"/>
              </w:rPr>
              <w:t>Likely</w:t>
            </w:r>
          </w:p>
        </w:tc>
        <w:tc>
          <w:tcPr>
            <w:tcW w:w="1856" w:type="dxa"/>
            <w:vAlign w:val="center"/>
          </w:tcPr>
          <w:p>
            <w:pPr>
              <w:spacing w:before="0" w:after="0" w:line="240" w:lineRule="auto"/>
            </w:pPr>
            <w:r/>
            <w:r>
              <w:rPr>
                <w:rFonts w:ascii="Aptos" w:hAnsi="Aptos" w:eastAsia="Aptos"/>
                <w:b w:val="0"/>
                <w:sz w:val="18"/>
              </w:rPr>
              <w:t>Low</w:t>
            </w:r>
          </w:p>
        </w:tc>
        <w:tc>
          <w:tcPr>
            <w:tcW w:w="2041" w:type="dxa"/>
            <w:vAlign w:val="center"/>
          </w:tcPr>
          <w:p>
            <w:pPr>
              <w:spacing w:before="0" w:after="0" w:line="240" w:lineRule="auto"/>
            </w:pPr>
            <w:r/>
            <w:r>
              <w:rPr>
                <w:rFonts w:ascii="Aptos" w:hAnsi="Aptos" w:eastAsia="Aptos"/>
                <w:b/>
                <w:sz w:val="18"/>
              </w:rPr>
              <w:t>High</w:t>
            </w:r>
          </w:p>
        </w:tc>
        <w:tc>
          <w:tcPr>
            <w:tcW w:w="2680" w:type="dxa"/>
            <w:vAlign w:val="center"/>
          </w:tcPr>
          <w:p>
            <w:pPr>
              <w:spacing w:before="0" w:after="0" w:line="240" w:lineRule="auto"/>
            </w:pPr>
            <w:r/>
            <w:r>
              <w:rPr>
                <w:rFonts w:ascii="Aptos" w:hAnsi="Aptos" w:eastAsia="Aptos"/>
                <w:b/>
                <w:sz w:val="18"/>
              </w:rP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0" w:after="0" w:line="240" w:lineRule="auto"/>
            </w:pPr>
            <w:r/>
            <w:r>
              <w:rPr>
                <w:rFonts w:ascii="Aptos" w:hAnsi="Aptos" w:eastAsia="Aptos"/>
                <w:b/>
                <w:sz w:val="18"/>
              </w:rPr>
              <w:t>STD-008-CPP</w:t>
            </w:r>
          </w:p>
        </w:tc>
        <w:tc>
          <w:tcPr>
            <w:tcW w:w="1434" w:type="dxa"/>
            <w:vAlign w:val="center"/>
          </w:tcPr>
          <w:p>
            <w:pPr>
              <w:spacing w:before="0" w:after="0" w:line="240" w:lineRule="auto"/>
            </w:pPr>
            <w:r/>
            <w:r>
              <w:rPr>
                <w:rFonts w:ascii="Aptos" w:hAnsi="Aptos" w:eastAsia="Aptos"/>
                <w:b/>
                <w:sz w:val="18"/>
              </w:rPr>
              <w:t>High</w:t>
            </w:r>
          </w:p>
        </w:tc>
        <w:tc>
          <w:tcPr>
            <w:tcW w:w="1349" w:type="dxa"/>
            <w:vAlign w:val="center"/>
          </w:tcPr>
          <w:p>
            <w:pPr>
              <w:spacing w:before="0" w:after="0" w:line="240" w:lineRule="auto"/>
            </w:pPr>
            <w:r/>
            <w:r>
              <w:rPr>
                <w:rFonts w:ascii="Aptos" w:hAnsi="Aptos" w:eastAsia="Aptos"/>
                <w:b w:val="0"/>
                <w:sz w:val="18"/>
              </w:rPr>
              <w:t>Likely</w:t>
            </w:r>
          </w:p>
        </w:tc>
        <w:tc>
          <w:tcPr>
            <w:tcW w:w="1856" w:type="dxa"/>
            <w:vAlign w:val="center"/>
          </w:tcPr>
          <w:p>
            <w:pPr>
              <w:spacing w:before="0" w:after="0" w:line="240" w:lineRule="auto"/>
            </w:pPr>
            <w:r/>
            <w:r>
              <w:rPr>
                <w:rFonts w:ascii="Aptos" w:hAnsi="Aptos" w:eastAsia="Aptos"/>
                <w:b w:val="0"/>
                <w:sz w:val="18"/>
              </w:rPr>
              <w:t>Low</w:t>
            </w:r>
          </w:p>
        </w:tc>
        <w:tc>
          <w:tcPr>
            <w:tcW w:w="2041" w:type="dxa"/>
            <w:vAlign w:val="center"/>
          </w:tcPr>
          <w:p>
            <w:pPr>
              <w:spacing w:before="0" w:after="0" w:line="240" w:lineRule="auto"/>
            </w:pPr>
            <w:r/>
            <w:r>
              <w:rPr>
                <w:rFonts w:ascii="Aptos" w:hAnsi="Aptos" w:eastAsia="Aptos"/>
                <w:b/>
                <w:sz w:val="18"/>
              </w:rPr>
              <w:t>High</w:t>
            </w:r>
          </w:p>
        </w:tc>
        <w:tc>
          <w:tcPr>
            <w:tcW w:w="2680" w:type="dxa"/>
            <w:vAlign w:val="center"/>
          </w:tcPr>
          <w:p>
            <w:pPr>
              <w:spacing w:before="0" w:after="0" w:line="240" w:lineRule="auto"/>
            </w:pPr>
            <w:r/>
            <w:r>
              <w:rPr>
                <w:rFonts w:ascii="Aptos" w:hAnsi="Aptos" w:eastAsia="Aptos"/>
                <w:b/>
                <w:sz w:val="18"/>
              </w:rP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pPr>
              <w:spacing w:before="0" w:after="0" w:line="240" w:lineRule="auto"/>
            </w:pPr>
            <w:r/>
            <w:r>
              <w:rPr>
                <w:rFonts w:ascii="Aptos" w:hAnsi="Aptos" w:eastAsia="Aptos"/>
                <w:b/>
                <w:sz w:val="18"/>
              </w:rPr>
              <w:t>STD-009-CPP</w:t>
            </w:r>
          </w:p>
        </w:tc>
        <w:tc>
          <w:tcPr>
            <w:tcW w:w="1434" w:type="dxa"/>
            <w:vAlign w:val="center"/>
          </w:tcPr>
          <w:p>
            <w:pPr>
              <w:spacing w:before="0" w:after="0" w:line="240" w:lineRule="auto"/>
            </w:pPr>
            <w:r/>
            <w:r>
              <w:rPr>
                <w:rFonts w:ascii="Aptos" w:hAnsi="Aptos" w:eastAsia="Aptos"/>
                <w:b/>
                <w:sz w:val="18"/>
              </w:rPr>
              <w:t>Medium</w:t>
            </w:r>
          </w:p>
        </w:tc>
        <w:tc>
          <w:tcPr>
            <w:tcW w:w="1349" w:type="dxa"/>
            <w:vAlign w:val="center"/>
          </w:tcPr>
          <w:p>
            <w:pPr>
              <w:spacing w:before="0" w:after="0" w:line="240" w:lineRule="auto"/>
            </w:pPr>
            <w:r/>
            <w:r>
              <w:rPr>
                <w:rFonts w:ascii="Aptos" w:hAnsi="Aptos" w:eastAsia="Aptos"/>
                <w:b w:val="0"/>
                <w:sz w:val="18"/>
              </w:rPr>
              <w:t>Unlikely</w:t>
            </w:r>
          </w:p>
        </w:tc>
        <w:tc>
          <w:tcPr>
            <w:tcW w:w="1856" w:type="dxa"/>
            <w:vAlign w:val="center"/>
          </w:tcPr>
          <w:p>
            <w:pPr>
              <w:spacing w:before="0" w:after="0" w:line="240" w:lineRule="auto"/>
            </w:pPr>
            <w:r/>
            <w:r>
              <w:rPr>
                <w:rFonts w:ascii="Aptos" w:hAnsi="Aptos" w:eastAsia="Aptos"/>
                <w:b w:val="0"/>
                <w:sz w:val="18"/>
              </w:rPr>
              <w:t>Low</w:t>
            </w:r>
          </w:p>
        </w:tc>
        <w:tc>
          <w:tcPr>
            <w:tcW w:w="2041" w:type="dxa"/>
            <w:vAlign w:val="center"/>
          </w:tcPr>
          <w:p>
            <w:pPr>
              <w:spacing w:before="0" w:after="0" w:line="240" w:lineRule="auto"/>
            </w:pPr>
            <w:r/>
            <w:r>
              <w:rPr>
                <w:rFonts w:ascii="Aptos" w:hAnsi="Aptos" w:eastAsia="Aptos"/>
                <w:b/>
                <w:sz w:val="18"/>
              </w:rPr>
              <w:t>Medium</w:t>
            </w:r>
          </w:p>
        </w:tc>
        <w:tc>
          <w:tcPr>
            <w:tcW w:w="2680" w:type="dxa"/>
            <w:vAlign w:val="center"/>
          </w:tcPr>
          <w:p>
            <w:pPr>
              <w:spacing w:before="0" w:after="0" w:line="240" w:lineRule="auto"/>
            </w:pPr>
            <w:r/>
            <w:r>
              <w:rPr>
                <w:rFonts w:ascii="Aptos" w:hAnsi="Aptos" w:eastAsia="Aptos"/>
                <w:b/>
                <w:sz w:val="18"/>
              </w:rP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pPr>
              <w:spacing w:before="0" w:after="0" w:line="240" w:lineRule="auto"/>
            </w:pPr>
            <w:r/>
            <w:r>
              <w:rPr>
                <w:rFonts w:ascii="Aptos" w:hAnsi="Aptos" w:eastAsia="Aptos"/>
                <w:b/>
                <w:sz w:val="18"/>
              </w:rPr>
              <w:t>STD-010-CPP</w:t>
            </w:r>
          </w:p>
        </w:tc>
        <w:tc>
          <w:tcPr>
            <w:tcW w:w="1434" w:type="dxa"/>
            <w:vAlign w:val="center"/>
          </w:tcPr>
          <w:p>
            <w:pPr>
              <w:spacing w:before="0" w:after="0" w:line="240" w:lineRule="auto"/>
            </w:pPr>
            <w:r/>
            <w:r>
              <w:rPr>
                <w:rFonts w:ascii="Aptos" w:hAnsi="Aptos" w:eastAsia="Aptos"/>
                <w:b/>
                <w:sz w:val="18"/>
              </w:rPr>
              <w:t>Medium</w:t>
            </w:r>
          </w:p>
        </w:tc>
        <w:tc>
          <w:tcPr>
            <w:tcW w:w="1349" w:type="dxa"/>
            <w:vAlign w:val="center"/>
          </w:tcPr>
          <w:p>
            <w:pPr>
              <w:spacing w:before="0" w:after="0" w:line="240" w:lineRule="auto"/>
            </w:pPr>
            <w:r/>
            <w:r>
              <w:rPr>
                <w:rFonts w:ascii="Aptos" w:hAnsi="Aptos" w:eastAsia="Aptos"/>
                <w:b w:val="0"/>
                <w:sz w:val="18"/>
              </w:rPr>
              <w:t>Likely</w:t>
            </w:r>
          </w:p>
        </w:tc>
        <w:tc>
          <w:tcPr>
            <w:tcW w:w="1856" w:type="dxa"/>
            <w:vAlign w:val="center"/>
          </w:tcPr>
          <w:p>
            <w:pPr>
              <w:spacing w:before="0" w:after="0" w:line="240" w:lineRule="auto"/>
            </w:pPr>
            <w:r/>
            <w:r>
              <w:rPr>
                <w:rFonts w:ascii="Aptos" w:hAnsi="Aptos" w:eastAsia="Aptos"/>
                <w:b w:val="0"/>
                <w:sz w:val="18"/>
              </w:rPr>
              <w:t>Medium</w:t>
            </w:r>
          </w:p>
        </w:tc>
        <w:tc>
          <w:tcPr>
            <w:tcW w:w="2041" w:type="dxa"/>
            <w:vAlign w:val="center"/>
          </w:tcPr>
          <w:p>
            <w:pPr>
              <w:spacing w:before="0" w:after="0" w:line="240" w:lineRule="auto"/>
            </w:pPr>
            <w:r/>
            <w:r>
              <w:rPr>
                <w:rFonts w:ascii="Aptos" w:hAnsi="Aptos" w:eastAsia="Aptos"/>
                <w:b/>
                <w:sz w:val="18"/>
              </w:rPr>
              <w:t>High</w:t>
            </w:r>
          </w:p>
        </w:tc>
        <w:tc>
          <w:tcPr>
            <w:tcW w:w="2680" w:type="dxa"/>
            <w:vAlign w:val="center"/>
          </w:tcPr>
          <w:p>
            <w:pPr>
              <w:spacing w:before="0" w:after="0" w:line="240" w:lineRule="auto"/>
            </w:pPr>
            <w:r/>
            <w:r>
              <w:rPr>
                <w:rFonts w:ascii="Aptos" w:hAnsi="Aptos" w:eastAsia="Aptos"/>
                <w:b/>
                <w:sz w:val="18"/>
              </w:rPr>
              <w:t>4</w:t>
            </w:r>
          </w:p>
        </w:tc>
      </w:tr>
    </w:tbl>
    <w:p w14:paraId="065B3FB5" w14:textId="77777777" w:rsidR="00381847" w:rsidRDefault="00381847"/>
    <w:p w14:paraId="75A7A4D8" w14:textId="77777777" w:rsidR="00381847" w:rsidRDefault="00E769D9" w:rsidP="0059536C">
      <w:pPr>
        <w:pStyle w:val="Heading3"/>
      </w:pPr>
      <w:bookmarkStart w:id="24" w:name="_Toc52464076"/>
      <w:r>
        <w:rPr>
          <w:b/>
        </w:rPr>
        <w:t>Encryption and Triple-A Policies</w:t>
      </w:r>
      <w:bookmarkEnd w:id="24"/>
    </w:p>
    <w:p w14:paraId="3B6BE51C" w14:textId="3666D736" w:rsidR="00381847" w:rsidRDefault="00E769D9">
      <w:pPr>
        <w:ind w:left="720"/>
        <w:rPr>
          <w:b/>
          <w:i/>
        </w:rPr>
      </w:pPr>
      <w:r>
        <w:rPr>
          <w:b w:val="0"/>
        </w:rPr>
        <w:t>Green Pace protects data throughout its lifecycle and applies Authentication, Authorization, and Accounting as the access-control framework supporting defense in depth.</w:t>
      </w:r>
    </w:p>
    <w:p w14:paraId="354139B7" w14:textId="77777777" w:rsidR="00381847" w:rsidRDefault="00E769D9" w:rsidP="008D5A8D">
      <w:pPr>
        <w:pStyle w:val="List"/>
      </w:pPr>
      <w:r>
        <w:rPr>
          <w:b w:val="0"/>
        </w:rPr>
        <w:t>Encryption requirements apply according to data state and classification. Approved cryptographic libraries and centrally managed keys must be used; custom cryptographic algorithms and hard-coded keys are prohibited.</w:t>
      </w:r>
    </w:p>
    <w:p w14:paraId="224FF374" w14:textId="5612E759" w:rsidR="00381847" w:rsidRDefault="00E769D9" w:rsidP="008D5A8D">
      <w:pPr>
        <w:pStyle w:val="List"/>
      </w:pPr>
      <w:r>
        <w:rPr>
          <w:b w:val="0"/>
        </w:rPr>
        <w:t>Triple-A controls apply to all production applications, administrative interfaces, databases, and services. The controls must produce evidence for user logins, database changes, new users, access-level changes, and sensitive file access.</w:t>
      </w:r>
    </w:p>
    <w:p w14:paraId="2E421E78" w14:textId="77777777" w:rsidR="008C3FC6" w:rsidRDefault="008C3FC6" w:rsidP="008C3FC6">
      <w:pPr>
        <w:ind w:left="1440"/>
      </w:pPr>
    </w:p>
    <w:p w14:paraId="3478FBBD" w14:textId="77777777" w:rsidR="00381847" w:rsidRDefault="00E769D9">
      <w:r>
        <w:rPr>
          <w:b w:val="0"/>
        </w:rPr>
        <w:t>The following tables define the minimum policy for encryption and Triple-A controls.</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spacing w:after="0" w:before="0"/>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spacing w:after="0" w:before="0"/>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pPr>
              <w:spacing w:after="0" w:before="0"/>
            </w:pPr>
            <w:r>
              <w:t xml:space="preserve">Encryption </w:t>
            </w:r>
            <w:r w:rsidR="00973B67">
              <w:t xml:space="preserve">at </w:t>
            </w:r>
            <w:r>
              <w:t>rest</w:t>
            </w:r>
          </w:p>
        </w:tc>
        <w:tc>
          <w:tcPr>
            <w:tcW w:w="8875"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Data stored on disks, databases, backups, removable media, or object storage must be encrypted using organization-approved strong encryption (for example, AES-256 through a vetted library or managed service). Encryption keys must be separated from the protected data, rotated under key-management policy, and access must be limited by least privilege. This applies whenever confidential, customer, credential, financial, or regulated data is persisted.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pPr>
              <w:spacing w:after="0" w:before="0"/>
            </w:pPr>
            <w:r>
              <w:t xml:space="preserve">Encryption </w:t>
            </w:r>
            <w:r w:rsidR="00973B67">
              <w:t xml:space="preserve">in </w:t>
            </w:r>
            <w:r>
              <w:t>flight</w:t>
            </w:r>
          </w:p>
        </w:tc>
        <w:tc>
          <w:tcPr>
            <w:tcW w:w="8875"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Data moving between users, services, APIs, databases, and administrative systems must use authenticated encryption in transit, normally TLS 1.2 or later with TLS 1.3 preferred. Certificate validation must not be disabled. This policy applies whenever protected data crosses a process, host, network, or trust boundary and prevents interception or tampering in transit.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pPr>
              <w:spacing w:after="0" w:before="0"/>
            </w:pPr>
            <w:r>
              <w:t>Encryption in use</w:t>
            </w:r>
          </w:p>
        </w:tc>
        <w:tc>
          <w:tcPr>
            <w:tcW w:w="8875"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Data in use is data actively being processed in memory. Green Pace must minimize plaintext lifetime, restrict process and user access, isolate sensitive workloads, avoid unnecessary copies, and clear sensitive buffers where practical. For highly sensitive workloads, approved confidential-computing or hardware-backed protected-memory capabilities should be used when supported. This policy applies while protected data is being computed on, not only while stored or transmitted.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spacing w:after="0" w:before="0"/>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pPr>
              <w:spacing w:after="0" w:before="0"/>
            </w:pPr>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pPr>
              <w:spacing w:after="0" w:before="0"/>
            </w:pPr>
            <w:r>
              <w:t>Authentication</w:t>
            </w:r>
          </w:p>
        </w:tc>
        <w:tc>
          <w:tcPr>
            <w:tcW w:w="8706"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Authentication verifies identity before access is granted. Green Pace requires unique user/service identities, strong credential storage, MFA for privileged and remote access, secure session handling, and logging of successful and failed user logins. Shared administrative accounts are prohibited except for documented emergency break-glass use.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pPr>
              <w:spacing w:after="0" w:before="0"/>
            </w:pPr>
            <w:r>
              <w:t>Authorization</w:t>
            </w:r>
          </w:p>
        </w:tc>
        <w:tc>
          <w:tcPr>
            <w:tcW w:w="8706"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Authorization determines what an authenticated identity may do. Applications must use role- or attribute-based access controls, default deny, and least privilege. New users receive the minimum access needed; privilege changes require approval; database changes and sensitive file operations must be limited to authorized roles and service accounts.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pPr>
              <w:spacing w:after="0" w:before="0"/>
            </w:pPr>
            <w:r>
              <w:t>Accounting</w:t>
            </w:r>
          </w:p>
        </w:tc>
        <w:tc>
          <w:tcPr>
            <w:tcW w:w="8706" w:type="dxa"/>
            <w:tcMar>
              <w:top w:w="100" w:type="dxa"/>
              <w:left w:w="100" w:type="dxa"/>
              <w:bottom w:w="100" w:type="dxa"/>
              <w:right w:w="100" w:type="dxa"/>
            </w:tcMar>
            <w:vAlign w:val="center"/>
          </w:tcPr>
          <w:p>
            <w:pPr>
              <w:spacing w:before="0" w:after="0" w:line="240" w:lineRule="auto"/>
            </w:pPr>
            <w:r/>
            <w:r>
              <w:rPr>
                <w:rFonts w:ascii="Aptos" w:hAnsi="Aptos" w:eastAsia="Aptos"/>
                <w:b w:val="0"/>
                <w:sz w:val="18"/>
              </w:rPr>
              <w:t>Accounting records security-relevant activity so actions can be traced to an identity. Applications and databases must log user logins, new-user creation, access-level changes, database changes, and access to sensitive files. Logs must include reliable timestamps and identifiers, be protected from unauthorized alteration, and be forwarded to centralized monitoring. Existing operating-system, firewall, and anti-malware logs remain part of this evidence set.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rPr>
          <w:b/>
        </w:rPr>
        <w:t>Principle Mapping and Justification</w:t>
      </w:r>
      <w:bookmarkEnd w:id="25"/>
    </w:p>
    <w:p w14:paraId="0E4AA3D0" w14:textId="77777777" w:rsidR="00381847" w:rsidRDefault="00E769D9">
      <w:pPr>
        <w:ind w:left="720"/>
        <w:rPr>
          <w:b/>
        </w:rPr>
      </w:pPr>
      <w:r>
        <w:rPr>
          <w:b w:val="0"/>
        </w:rPr>
        <w:t>Each coding standard above lists the numbered Green Pace principles that support it and explains the connection. Reusing principles across standards is intentional: validation, least privilege, defense in depth, quality assurance, and a common secure-coding standard reinforce multiple vulnerability classes and provide a consistent audit rationale.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rPr>
          <w:b w:val="0"/>
        </w:rPr>
        <w:t>Green Pace already collects operating-system, firewall, and anti-malware logs. The Accounting policy extends this coverage with application, identity, database, and sensitive-file audit events.</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spacing w:after="0" w:before="0"/>
              <w:rPr>
                <w:color w:val="000000"/>
              </w:rPr>
            </w:pPr>
            <w:r>
              <w:rPr>
                <w:color w:val="000000"/>
              </w:rPr>
              <w:t>Version</w:t>
            </w:r>
          </w:p>
        </w:tc>
        <w:tc>
          <w:tcPr>
            <w:tcW w:w="1530" w:type="dxa"/>
            <w:shd w:val="clear" w:color="auto" w:fill="D9D9D9"/>
          </w:tcPr>
          <w:p w14:paraId="71CDDDC7" w14:textId="77777777" w:rsidR="00381847" w:rsidRDefault="00E769D9">
            <w:pPr>
              <w:spacing w:after="0" w:before="0"/>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spacing w:after="0" w:before="0"/>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spacing w:after="0" w:before="0"/>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spacing w:after="0" w:before="0"/>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pPr>
              <w:spacing w:after="0" w:before="0"/>
            </w:pPr>
            <w:r>
              <w:t>1.0</w:t>
            </w:r>
          </w:p>
        </w:tc>
        <w:tc>
          <w:tcPr>
            <w:tcW w:w="1530" w:type="dxa"/>
          </w:tcPr>
          <w:p w14:paraId="3EA48162" w14:textId="77777777" w:rsidR="00381847" w:rsidRDefault="00E769D9">
            <w:pPr>
              <w:spacing w:after="0" w:before="0"/>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spacing w:after="0" w:before="0"/>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spacing w:after="0" w:before="0"/>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spacing w:after="0" w:before="0"/>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vAlign w:val="center"/>
          </w:tcPr>
          <w:p>
            <w:pPr>
              <w:spacing w:before="0" w:after="0" w:line="240" w:lineRule="auto"/>
            </w:pPr>
            <w:r/>
            <w:r>
              <w:rPr>
                <w:rFonts w:ascii="Aptos" w:hAnsi="Aptos" w:eastAsia="Aptos"/>
                <w:b/>
                <w:sz w:val="19"/>
              </w:rPr>
              <w:t>2.0</w:t>
            </w:r>
          </w:p>
        </w:tc>
        <w:tc>
          <w:tcPr>
            <w:tcW w:w="1530" w:type="dxa"/>
            <w:vAlign w:val="center"/>
          </w:tcPr>
          <w:p>
            <w:pPr>
              <w:spacing w:before="0" w:after="0" w:line="240" w:lineRule="auto"/>
            </w:pPr>
            <w:r/>
            <w:r>
              <w:rPr>
                <w:rFonts w:ascii="Aptos" w:hAnsi="Aptos" w:eastAsia="Aptos"/>
                <w:b w:val="0"/>
                <w:sz w:val="19"/>
              </w:rPr>
              <w:t>10/05/2026</w:t>
            </w:r>
          </w:p>
        </w:tc>
        <w:tc>
          <w:tcPr>
            <w:tcW w:w="3510" w:type="dxa"/>
            <w:vAlign w:val="center"/>
          </w:tcPr>
          <w:p>
            <w:pPr>
              <w:spacing w:before="0" w:after="0" w:line="240" w:lineRule="auto"/>
            </w:pPr>
            <w:r/>
            <w:r>
              <w:rPr>
                <w:rFonts w:ascii="Aptos" w:hAnsi="Aptos" w:eastAsia="Aptos"/>
                <w:b w:val="0"/>
                <w:sz w:val="18"/>
              </w:rPr>
              <w:t>Project One: completed secure coding standards, risk assessments, automation, encryption, Triple-A controls, and principle mappings.</w:t>
            </w:r>
          </w:p>
        </w:tc>
        <w:tc>
          <w:tcPr>
            <w:tcW w:w="1923" w:type="dxa"/>
            <w:vAlign w:val="center"/>
          </w:tcPr>
          <w:p>
            <w:pPr>
              <w:spacing w:before="0" w:after="0" w:line="240" w:lineRule="auto"/>
            </w:pPr>
            <w:r/>
            <w:r>
              <w:rPr>
                <w:rFonts w:ascii="Aptos" w:hAnsi="Aptos" w:eastAsia="Aptos"/>
                <w:b w:val="0"/>
                <w:sz w:val="19"/>
              </w:rPr>
              <w:t>Coden Polk</w:t>
            </w:r>
          </w:p>
        </w:tc>
        <w:tc>
          <w:tcPr>
            <w:tcW w:w="2077" w:type="dxa"/>
            <w:vAlign w:val="center"/>
          </w:tcPr>
          <w:p>
            <w:pPr>
              <w:spacing w:before="0" w:after="0" w:line="240" w:lineRule="auto"/>
            </w:pPr>
            <w:r/>
            <w:r>
              <w:rPr>
                <w:rFonts w:ascii="Aptos" w:hAnsi="Aptos" w:eastAsia="Aptos"/>
                <w:b w:val="0"/>
                <w:sz w:val="18"/>
              </w:rPr>
              <w:t>Pending OCISO/CISO approval</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vAlign w:val="center"/>
          </w:tcPr>
          <w:p>
            <w:pPr>
              <w:spacing w:before="0" w:after="0" w:line="240" w:lineRule="auto"/>
            </w:pPr>
            <w:r/>
            <w:r>
              <w:rPr>
                <w:rFonts w:ascii="Aptos" w:hAnsi="Aptos" w:eastAsia="Aptos"/>
                <w:b w:val="0"/>
                <w:sz w:val="18"/>
              </w:rPr>
            </w:r>
          </w:p>
        </w:tc>
        <w:tc>
          <w:tcPr>
            <w:tcW w:w="1530" w:type="dxa"/>
            <w:vAlign w:val="center"/>
          </w:tcPr>
          <w:p>
            <w:pPr>
              <w:spacing w:before="0" w:after="0" w:line="240" w:lineRule="auto"/>
            </w:pPr>
            <w:r/>
            <w:r>
              <w:rPr>
                <w:rFonts w:ascii="Aptos" w:hAnsi="Aptos" w:eastAsia="Aptos"/>
                <w:b w:val="0"/>
                <w:sz w:val="18"/>
              </w:rPr>
            </w:r>
          </w:p>
        </w:tc>
        <w:tc>
          <w:tcPr>
            <w:tcW w:w="3510" w:type="dxa"/>
            <w:vAlign w:val="center"/>
          </w:tcPr>
          <w:p>
            <w:pPr>
              <w:spacing w:before="0" w:after="0" w:line="240" w:lineRule="auto"/>
            </w:pPr>
            <w:r/>
            <w:r>
              <w:rPr>
                <w:rFonts w:ascii="Aptos" w:hAnsi="Aptos" w:eastAsia="Aptos"/>
                <w:b w:val="0"/>
                <w:sz w:val="18"/>
              </w:rPr>
            </w:r>
          </w:p>
        </w:tc>
        <w:tc>
          <w:tcPr>
            <w:tcW w:w="1923" w:type="dxa"/>
            <w:vAlign w:val="center"/>
          </w:tcPr>
          <w:p>
            <w:pPr>
              <w:spacing w:before="0" w:after="0" w:line="240" w:lineRule="auto"/>
            </w:pPr>
            <w:r/>
            <w:r>
              <w:rPr>
                <w:rFonts w:ascii="Aptos" w:hAnsi="Aptos" w:eastAsia="Aptos"/>
                <w:b w:val="0"/>
                <w:sz w:val="18"/>
              </w:rPr>
            </w:r>
          </w:p>
        </w:tc>
        <w:tc>
          <w:tcPr>
            <w:tcW w:w="2077" w:type="dxa"/>
            <w:vAlign w:val="center"/>
          </w:tcPr>
          <w:p>
            <w:pPr>
              <w:spacing w:before="0" w:after="0" w:line="240" w:lineRule="auto"/>
            </w:pPr>
            <w:r/>
            <w:r>
              <w:rPr>
                <w:rFonts w:ascii="Aptos" w:hAnsi="Aptos" w:eastAsia="Aptos"/>
                <w:b w:val="0"/>
                <w:sz w:val="18"/>
              </w:rPr>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spacing w:after="0" w:before="0"/>
              <w:rPr>
                <w:color w:val="000000"/>
              </w:rPr>
            </w:pPr>
            <w:r>
              <w:rPr>
                <w:color w:val="000000"/>
              </w:rPr>
              <w:t>Language</w:t>
            </w:r>
          </w:p>
        </w:tc>
        <w:tc>
          <w:tcPr>
            <w:tcW w:w="5193" w:type="dxa"/>
            <w:shd w:val="clear" w:color="auto" w:fill="D9D9D9"/>
          </w:tcPr>
          <w:p w14:paraId="00255B07" w14:textId="77777777" w:rsidR="00381847" w:rsidRDefault="00E769D9">
            <w:pPr>
              <w:spacing w:after="0" w:before="0"/>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pPr>
              <w:spacing w:after="0" w:before="0"/>
            </w:pPr>
            <w:r>
              <w:t>C++</w:t>
            </w:r>
          </w:p>
        </w:tc>
        <w:tc>
          <w:tcPr>
            <w:tcW w:w="5193" w:type="dxa"/>
          </w:tcPr>
          <w:p w14:paraId="7EE66078" w14:textId="77777777" w:rsidR="00381847" w:rsidRDefault="00E769D9">
            <w:pPr>
              <w:spacing w:after="0" w:before="0"/>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pPr>
              <w:spacing w:after="0" w:before="0"/>
            </w:pPr>
            <w:r>
              <w:t>C</w:t>
            </w:r>
          </w:p>
        </w:tc>
        <w:tc>
          <w:tcPr>
            <w:tcW w:w="5193" w:type="dxa"/>
          </w:tcPr>
          <w:p w14:paraId="1F7DCC24" w14:textId="77777777" w:rsidR="00381847" w:rsidRDefault="00E769D9">
            <w:pPr>
              <w:spacing w:after="0" w:before="0"/>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pPr>
              <w:spacing w:after="0" w:before="0"/>
            </w:pPr>
            <w:r>
              <w:t>Java</w:t>
            </w:r>
          </w:p>
        </w:tc>
        <w:tc>
          <w:tcPr>
            <w:tcW w:w="5193" w:type="dxa"/>
          </w:tcPr>
          <w:p w14:paraId="0218F327" w14:textId="77777777" w:rsidR="00381847" w:rsidRDefault="00E769D9">
            <w:pPr>
              <w:spacing w:after="0" w:before="0"/>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1008" w:right="1008" w:bottom="1008" w:left="1008"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Laurel, Brooke</cp:lastModifiedBy>
  <cp:revision>24</cp:revision>
  <dcterms:created xsi:type="dcterms:W3CDTF">2020-11-20T18:42:00Z</dcterms:created>
  <dcterms:modified xsi:type="dcterms:W3CDTF">2024-01-19T19:40:00Z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