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520"/>
        <w:jc w:val="center"/>
      </w:pPr>
      <w:r>
        <w:rPr>
          <w:rFonts w:ascii="Times New Roman" w:hAnsi="Times New Roman"/>
          <w:b/>
          <w:sz w:val="32"/>
        </w:rPr>
        <w:t>DECLARATION BY THE CANDIDATE(s)</w:t>
      </w:r>
    </w:p>
    <w:p>
      <w:pPr>
        <w:spacing w:line="360" w:lineRule="auto" w:after="280"/>
        <w:jc w:val="both"/>
      </w:pPr>
      <w:r>
        <w:rPr>
          <w:rFonts w:ascii="Times New Roman" w:hAnsi="Times New Roman"/>
        </w:rPr>
        <w:t xml:space="preserve">We, the undersigned, solemnly declare that the report of the project work entitled </w:t>
      </w:r>
      <w:r>
        <w:rPr>
          <w:rFonts w:ascii="Times New Roman" w:hAnsi="Times New Roman"/>
          <w:b/>
        </w:rPr>
        <w:t>"AutoDev: An Autonomous Multi-Agent Software Engineering Platform"</w:t>
      </w:r>
      <w:r>
        <w:rPr>
          <w:rFonts w:ascii="Times New Roman" w:hAnsi="Times New Roman"/>
        </w:rPr>
        <w:t xml:space="preserve">, is based on our own work carried out during the course of our study under the supervision of </w:t>
      </w:r>
      <w:r>
        <w:rPr>
          <w:rFonts w:ascii="Times New Roman" w:hAnsi="Times New Roman"/>
          <w:b/>
        </w:rPr>
        <w:t>Prof. Usha Kiran</w:t>
      </w:r>
      <w:r>
        <w:rPr>
          <w:rFonts w:ascii="Times New Roman" w:hAnsi="Times New Roman"/>
        </w:rPr>
        <w:t>, Assistant Professor, Department of Computer Science and Engineering, Bhilai Institute of Technology, Durg.</w:t>
      </w:r>
    </w:p>
    <w:p>
      <w:pPr>
        <w:spacing w:line="360" w:lineRule="auto" w:after="280"/>
        <w:jc w:val="both"/>
      </w:pPr>
      <w:r>
        <w:rPr>
          <w:rFonts w:ascii="Times New Roman" w:hAnsi="Times New Roman"/>
        </w:rPr>
        <w:t>We assert that the statements made and conclusions drawn are an outcome of the project work.</w:t>
      </w:r>
    </w:p>
    <w:p>
      <w:pPr>
        <w:spacing w:line="360" w:lineRule="auto" w:after="640"/>
        <w:jc w:val="both"/>
      </w:pPr>
      <w:r>
        <w:rPr>
          <w:rFonts w:ascii="Times New Roman" w:hAnsi="Times New Roman"/>
        </w:rPr>
        <w:t>We further declare that to the best of our knowledge and belief that the report does not contain any part of any work which has been submitted for the award of any other degree/diploma/certificate in this University/ any other University of India or any other country.</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3744"/>
        <w:gridCol w:w="5285"/>
      </w:tblGrid>
      <w:tr>
        <w:tc>
          <w:tcPr>
            <w:tcW w:type="dxa" w:w="4514"/>
          </w:tcPr>
          <w:p>
            <w:pPr>
              <w:spacing w:line="312" w:lineRule="auto" w:before="560"/>
            </w:pPr>
            <w:r>
              <w:rPr>
                <w:rFonts w:ascii="Times New Roman" w:hAnsi="Times New Roman"/>
                <w:sz w:val="24"/>
              </w:rPr>
              <w:t>Date: __________________</w:t>
              <w:br/>
              <w:br/>
              <w:t>Place: Durg (C.G.)</w:t>
            </w:r>
          </w:p>
        </w:tc>
        <w:tc>
          <w:tcPr>
            <w:tcW w:type="dxa" w:w="4514"/>
          </w:tcPr>
          <w:p>
            <w:pPr>
              <w:spacing w:line="288" w:lineRule="auto" w:after="0"/>
            </w:pPr>
            <w:r>
              <w:rPr>
                <w:rFonts w:ascii="Times New Roman" w:hAnsi="Times New Roman"/>
                <w:b/>
                <w:sz w:val="24"/>
              </w:rPr>
              <w:t>(Signature of Student)</w:t>
              <w:br/>
            </w:r>
            <w:r>
              <w:rPr>
                <w:rFonts w:ascii="Times New Roman" w:hAnsi="Times New Roman"/>
                <w:sz w:val="24"/>
              </w:rPr>
              <w:t>Name of the Candidate: Aman Adil</w:t>
              <w:br/>
              <w:t>University Roll no.: 300102223013</w:t>
              <w:br/>
              <w:t>Enrollment No.: CD8369</w:t>
              <w:br/>
            </w:r>
            <w:r>
              <w:br/>
            </w:r>
            <w:r>
              <w:rPr>
                <w:rFonts w:ascii="Times New Roman" w:hAnsi="Times New Roman"/>
                <w:b/>
                <w:sz w:val="24"/>
              </w:rPr>
              <w:t>(Signature of Student)</w:t>
              <w:br/>
            </w:r>
            <w:r>
              <w:rPr>
                <w:rFonts w:ascii="Times New Roman" w:hAnsi="Times New Roman"/>
                <w:sz w:val="24"/>
              </w:rPr>
              <w:t>Name of the Candidate: Amit Sahu</w:t>
              <w:br/>
              <w:t>University Roll no.: 300102223015</w:t>
              <w:br/>
              <w:t>Enrollment No.: CD8347</w:t>
              <w:br/>
            </w:r>
            <w:r>
              <w:br/>
            </w:r>
            <w:r>
              <w:rPr>
                <w:rFonts w:ascii="Times New Roman" w:hAnsi="Times New Roman"/>
                <w:b/>
                <w:sz w:val="24"/>
              </w:rPr>
              <w:t>(Signature of Student)</w:t>
              <w:br/>
            </w:r>
            <w:r>
              <w:rPr>
                <w:rFonts w:ascii="Times New Roman" w:hAnsi="Times New Roman"/>
                <w:sz w:val="24"/>
              </w:rPr>
              <w:t>Name of the Candidate: Anupam Sharma</w:t>
              <w:br/>
              <w:t>University Roll no.: 300102223023</w:t>
              <w:br/>
              <w:t>Enrollment No.: CD8391</w:t>
              <w:br/>
            </w:r>
          </w:p>
        </w:tc>
      </w:tr>
    </w:tbl>
    <w:p>
      <w:r>
        <w:br w:type="page"/>
      </w:r>
    </w:p>
    <w:p>
      <w:pPr>
        <w:spacing w:before="200" w:after="480"/>
        <w:jc w:val="center"/>
      </w:pPr>
      <w:r>
        <w:rPr>
          <w:rFonts w:ascii="Times New Roman" w:hAnsi="Times New Roman"/>
          <w:b/>
          <w:sz w:val="32"/>
        </w:rPr>
        <w:t>APPROVAL CERTIFICATE</w:t>
      </w:r>
    </w:p>
    <w:p>
      <w:pPr>
        <w:spacing w:line="360" w:lineRule="auto" w:after="240"/>
        <w:jc w:val="both"/>
      </w:pPr>
      <w:r>
        <w:rPr>
          <w:rFonts w:ascii="Times New Roman" w:hAnsi="Times New Roman"/>
        </w:rPr>
        <w:t xml:space="preserve">This is to Certify that the report of the project submitted is an outcome of the project work entitled </w:t>
      </w:r>
      <w:r>
        <w:rPr>
          <w:rFonts w:ascii="Times New Roman" w:hAnsi="Times New Roman"/>
          <w:b/>
        </w:rPr>
        <w:t>"AutoDev: An Autonomous Multi-Agent Software Engineering Platform"</w:t>
      </w:r>
      <w:r>
        <w:rPr>
          <w:rFonts w:ascii="Times New Roman" w:hAnsi="Times New Roman"/>
        </w:rPr>
        <w:t>, carried out by Aman Adil bearing Roll No. 300102223013, Enrollment No. CD8369; Amit Sahu bearing Roll No. 300102223015, Enrollment No. CD8347; Anupam Sharma bearing Roll No. 300102223023, Enrollment No. CD8391.</w:t>
      </w:r>
    </w:p>
    <w:p>
      <w:pPr>
        <w:spacing w:line="360" w:lineRule="auto" w:after="240"/>
        <w:jc w:val="both"/>
      </w:pPr>
      <w:r>
        <w:rPr>
          <w:rFonts w:ascii="Times New Roman" w:hAnsi="Times New Roman"/>
        </w:rPr>
        <w:t>Under my guidance and supervision in partial fulfillment of Bachelor of Technology in Computer Science and Engineering from Bhilai Institute of Technology, Durg, an autonomous institute affiliated to Chhattisgarh Swami Vivekanand Technical University, Bhilai (C.G).</w:t>
      </w:r>
    </w:p>
    <w:p>
      <w:pPr>
        <w:spacing w:line="336" w:lineRule="auto" w:after="560"/>
        <w:jc w:val="both"/>
      </w:pPr>
      <w:r>
        <w:rPr>
          <w:rFonts w:ascii="Times New Roman" w:hAnsi="Times New Roman"/>
        </w:rPr>
        <w:t>To the best of my knowledge and belief the project:</w:t>
        <w:br/>
      </w:r>
      <w:r>
        <w:rPr>
          <w:rFonts w:ascii="Times New Roman" w:hAnsi="Times New Roman"/>
        </w:rPr>
        <w:t>i)   Embodies the work of the candidate himself / herself,</w:t>
        <w:br/>
        <w:t>ii)  Has duly been completed,</w:t>
        <w:br/>
        <w:t>iii) Fulfills the requirement of the Ordinance relating to the B. Tech. degree of the university,</w:t>
        <w:br/>
        <w:t>iv)  Is up to the desired standard for the purpose of which is submitted.</w:t>
      </w:r>
    </w:p>
    <w:p>
      <w:pPr>
        <w:spacing w:before="280" w:after="560" w:line="300" w:lineRule="auto"/>
      </w:pPr>
      <w:r>
        <w:rPr>
          <w:rFonts w:ascii="Times New Roman" w:hAnsi="Times New Roman"/>
          <w:b/>
        </w:rPr>
        <w:t>(Signature of the Supervisor)</w:t>
        <w:br/>
      </w:r>
      <w:r>
        <w:rPr>
          <w:rFonts w:ascii="Times New Roman" w:hAnsi="Times New Roman"/>
        </w:rPr>
        <w:t>Prof. Usha Kiran</w:t>
        <w:br/>
        <w:t>Assistant Prof. Department</w:t>
        <w:br/>
        <w:t>Computer Science and Engineering,</w:t>
        <w:br/>
        <w:t>Bhilai Institute of Technology, Durg</w:t>
      </w:r>
    </w:p>
    <w:p>
      <w:pPr>
        <w:spacing w:line="312" w:lineRule="auto" w:after="560"/>
        <w:jc w:val="both"/>
      </w:pPr>
      <w:r>
        <w:rPr>
          <w:rFonts w:ascii="Times New Roman" w:hAnsi="Times New Roman"/>
        </w:rPr>
        <w:t>The Project work as mentioned above is hereby being recommended and forwarded for examination and evaluation.</w:t>
      </w:r>
    </w:p>
    <w:p>
      <w:pPr>
        <w:spacing w:before="160" w:line="300" w:lineRule="auto"/>
      </w:pPr>
      <w:r>
        <w:rPr>
          <w:rFonts w:ascii="Times New Roman" w:hAnsi="Times New Roman"/>
          <w:b/>
        </w:rPr>
        <w:t>Dr. (Mrs) Sunita Soni</w:t>
        <w:br/>
      </w:r>
      <w:r>
        <w:rPr>
          <w:rFonts w:ascii="Times New Roman" w:hAnsi="Times New Roman"/>
        </w:rPr>
        <w:t>Head of the Department</w:t>
        <w:br/>
        <w:t>Computer Science &amp; Engineering</w:t>
        <w:br/>
        <w:t>Bhilai Institute of Technology, Durg</w:t>
      </w:r>
    </w:p>
    <w:p>
      <w:r>
        <w:br w:type="page"/>
      </w:r>
    </w:p>
    <w:p>
      <w:pPr>
        <w:spacing w:before="200" w:after="480"/>
        <w:jc w:val="center"/>
      </w:pPr>
      <w:r>
        <w:rPr>
          <w:rFonts w:ascii="Times New Roman" w:hAnsi="Times New Roman"/>
          <w:b/>
          <w:sz w:val="32"/>
        </w:rPr>
        <w:t>CERTIFICATE BY THE EXAMINERS</w:t>
      </w:r>
    </w:p>
    <w:p>
      <w:pPr>
        <w:spacing w:after="280"/>
        <w:jc w:val="center"/>
      </w:pPr>
      <w:r>
        <w:rPr>
          <w:rFonts w:ascii="Times New Roman" w:hAnsi="Times New Roman"/>
          <w:sz w:val="26"/>
        </w:rPr>
        <w:t>This is to Certify that the project entitled</w:t>
      </w:r>
    </w:p>
    <w:p>
      <w:pPr>
        <w:spacing w:before="120" w:after="360"/>
        <w:jc w:val="center"/>
      </w:pPr>
      <w:r>
        <w:rPr>
          <w:rFonts w:ascii="Times New Roman" w:hAnsi="Times New Roman"/>
          <w:b/>
          <w:sz w:val="28"/>
        </w:rPr>
        <w:t>"AutoDev: An Autonomous Multi-Agent Software Engineering Platform"</w:t>
      </w:r>
    </w:p>
    <w:p>
      <w:pPr>
        <w:spacing w:after="240"/>
        <w:jc w:val="center"/>
      </w:pPr>
      <w:r>
        <w:rPr>
          <w:rFonts w:ascii="Times New Roman" w:hAnsi="Times New Roman"/>
          <w:i/>
          <w:sz w:val="24"/>
        </w:rPr>
        <w:t>Submitted by</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320"/>
        <w:gridCol w:w="4320"/>
      </w:tblGrid>
      <w:tr>
        <w:tc>
          <w:tcPr>
            <w:tcW w:type="dxa" w:w="4514"/>
          </w:tcPr>
          <w:p>
            <w:pPr>
              <w:spacing w:line="288" w:lineRule="auto"/>
              <w:jc w:val="right"/>
            </w:pPr>
            <w:r>
              <w:rPr>
                <w:rFonts w:ascii="Times New Roman" w:hAnsi="Times New Roman"/>
                <w:b/>
              </w:rPr>
              <w:t xml:space="preserve">Aman Adil  </w:t>
            </w:r>
          </w:p>
        </w:tc>
        <w:tc>
          <w:tcPr>
            <w:tcW w:type="dxa" w:w="4514"/>
          </w:tcPr>
          <w:p>
            <w:pPr>
              <w:spacing w:line="288" w:lineRule="auto"/>
              <w:jc w:val="left"/>
            </w:pPr>
            <w:r>
              <w:rPr>
                <w:rFonts w:ascii="Times New Roman" w:hAnsi="Times New Roman"/>
              </w:rPr>
              <w:t>Enrollment No: CD8369</w:t>
              <w:br/>
              <w:t>Roll No: 300102223013</w:t>
            </w:r>
          </w:p>
        </w:tc>
      </w:tr>
      <w:tr>
        <w:tc>
          <w:tcPr>
            <w:tcW w:type="dxa" w:w="4514"/>
          </w:tcPr>
          <w:p>
            <w:pPr>
              <w:spacing w:line="288" w:lineRule="auto"/>
              <w:jc w:val="right"/>
            </w:pPr>
            <w:r>
              <w:rPr>
                <w:rFonts w:ascii="Times New Roman" w:hAnsi="Times New Roman"/>
                <w:b/>
              </w:rPr>
              <w:t xml:space="preserve">Amit Sahu  </w:t>
            </w:r>
          </w:p>
        </w:tc>
        <w:tc>
          <w:tcPr>
            <w:tcW w:type="dxa" w:w="4514"/>
          </w:tcPr>
          <w:p>
            <w:pPr>
              <w:spacing w:line="288" w:lineRule="auto"/>
              <w:jc w:val="left"/>
            </w:pPr>
            <w:r>
              <w:rPr>
                <w:rFonts w:ascii="Times New Roman" w:hAnsi="Times New Roman"/>
              </w:rPr>
              <w:t>Enrollment No: CD8347</w:t>
              <w:br/>
              <w:t>Roll No: 300102223015</w:t>
            </w:r>
          </w:p>
        </w:tc>
      </w:tr>
      <w:tr>
        <w:tc>
          <w:tcPr>
            <w:tcW w:type="dxa" w:w="4514"/>
          </w:tcPr>
          <w:p>
            <w:pPr>
              <w:spacing w:line="288" w:lineRule="auto"/>
              <w:jc w:val="right"/>
            </w:pPr>
            <w:r>
              <w:rPr>
                <w:rFonts w:ascii="Times New Roman" w:hAnsi="Times New Roman"/>
                <w:b/>
              </w:rPr>
              <w:t xml:space="preserve">Anupam Sharma  </w:t>
            </w:r>
          </w:p>
        </w:tc>
        <w:tc>
          <w:tcPr>
            <w:tcW w:type="dxa" w:w="4514"/>
          </w:tcPr>
          <w:p>
            <w:pPr>
              <w:spacing w:line="288" w:lineRule="auto"/>
              <w:jc w:val="left"/>
            </w:pPr>
            <w:r>
              <w:rPr>
                <w:rFonts w:ascii="Times New Roman" w:hAnsi="Times New Roman"/>
              </w:rPr>
              <w:t>Enrollment No: CD8391</w:t>
              <w:br/>
              <w:t>Roll No: 300102223023</w:t>
            </w:r>
          </w:p>
        </w:tc>
      </w:tr>
    </w:tbl>
    <w:p>
      <w:pPr>
        <w:spacing w:line="360" w:lineRule="auto" w:before="560" w:after="800"/>
        <w:jc w:val="both"/>
      </w:pPr>
      <w:r>
        <w:rPr>
          <w:rFonts w:ascii="Times New Roman" w:hAnsi="Times New Roman"/>
        </w:rPr>
        <w:t>Have been examined by the undersigned as a part of the examination for the award of Bachelor of Technology degree in Computer Science and Engineering from Bhilai Institute of Technology, Durg, an autonomous institute affiliated to Chhattisgarh Swami Vivekanand Technical University, Bhilai (C.G).</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464"/>
        <w:gridCol w:w="4565"/>
      </w:tblGrid>
      <w:tr>
        <w:tc>
          <w:tcPr>
            <w:tcW w:type="dxa" w:w="4514"/>
          </w:tcPr>
          <w:p>
            <w:pPr>
              <w:spacing w:line="336" w:lineRule="auto"/>
            </w:pPr>
            <w:r>
              <w:rPr>
                <w:b/>
              </w:rPr>
              <w:t>(Internal Examiner)</w:t>
              <w:br/>
            </w:r>
            <w:r>
              <w:t>Name: ______________________</w:t>
              <w:br/>
              <w:t>Date: ______________________</w:t>
            </w:r>
          </w:p>
        </w:tc>
        <w:tc>
          <w:tcPr>
            <w:tcW w:type="dxa" w:w="4514"/>
          </w:tcPr>
          <w:p>
            <w:pPr>
              <w:spacing w:line="336" w:lineRule="auto"/>
            </w:pPr>
            <w:r>
              <w:rPr>
                <w:b/>
              </w:rPr>
              <w:t>(External Examiner)</w:t>
              <w:br/>
            </w:r>
            <w:r>
              <w:t>Name: ______________________</w:t>
              <w:br/>
              <w:t>Date: ______________________</w:t>
            </w:r>
          </w:p>
        </w:tc>
      </w:tr>
    </w:tbl>
    <w:p>
      <w:r>
        <w:br w:type="page"/>
      </w:r>
    </w:p>
    <w:p>
      <w:pPr>
        <w:spacing w:before="200" w:after="480"/>
        <w:jc w:val="center"/>
      </w:pPr>
      <w:r>
        <w:rPr>
          <w:rFonts w:ascii="Times New Roman" w:hAnsi="Times New Roman"/>
          <w:b/>
          <w:sz w:val="32"/>
        </w:rPr>
        <w:t>ACKNOWLEDGEMENT</w:t>
      </w:r>
    </w:p>
    <w:p>
      <w:pPr>
        <w:spacing w:line="360" w:lineRule="auto" w:after="240"/>
        <w:jc w:val="both"/>
      </w:pPr>
      <w:r>
        <w:rPr>
          <w:rFonts w:ascii="Times New Roman" w:hAnsi="Times New Roman"/>
        </w:rPr>
        <w:t xml:space="preserve">We have great pleasure in the submission of this project report entitled </w:t>
      </w:r>
      <w:r>
        <w:rPr>
          <w:rFonts w:ascii="Times New Roman" w:hAnsi="Times New Roman"/>
          <w:b/>
        </w:rPr>
        <w:t>"AutoDev: An Autonomous Multi-Agent Software Engineering Platform"</w:t>
      </w:r>
      <w:r>
        <w:rPr>
          <w:rFonts w:ascii="Times New Roman" w:hAnsi="Times New Roman"/>
        </w:rPr>
        <w:t xml:space="preserve"> in partial fulfillment the degree of Bachelor of Technology. While submitting this project report, we take this opportunity to thank those directly or indirectly related to project work.</w:t>
      </w:r>
    </w:p>
    <w:p>
      <w:pPr>
        <w:spacing w:line="360" w:lineRule="auto" w:after="240"/>
        <w:jc w:val="both"/>
      </w:pPr>
      <w:r>
        <w:rPr>
          <w:rFonts w:ascii="Times New Roman" w:hAnsi="Times New Roman"/>
        </w:rPr>
        <w:t xml:space="preserve">We would like to thank our supervisor </w:t>
      </w:r>
      <w:r>
        <w:rPr>
          <w:rFonts w:ascii="Times New Roman" w:hAnsi="Times New Roman"/>
          <w:b/>
        </w:rPr>
        <w:t>Prof. Usha Kiran</w:t>
      </w:r>
      <w:r>
        <w:rPr>
          <w:rFonts w:ascii="Times New Roman" w:hAnsi="Times New Roman"/>
        </w:rPr>
        <w:t xml:space="preserve"> who has provided the opportunity and organizing project for us. Without her active co-operation and guidance, it would have been become very difficult to complete task in time.</w:t>
      </w:r>
    </w:p>
    <w:p>
      <w:pPr>
        <w:spacing w:line="360" w:lineRule="auto" w:after="240"/>
        <w:jc w:val="both"/>
      </w:pPr>
      <w:r>
        <w:rPr>
          <w:rFonts w:ascii="Times New Roman" w:hAnsi="Times New Roman"/>
        </w:rPr>
        <w:t xml:space="preserve">We would like to express sincere thanks and gratitude to </w:t>
      </w:r>
      <w:r>
        <w:rPr>
          <w:rFonts w:ascii="Times New Roman" w:hAnsi="Times New Roman"/>
          <w:b/>
        </w:rPr>
        <w:t>Dr. Anup Mishra</w:t>
      </w:r>
      <w:r>
        <w:rPr>
          <w:rFonts w:ascii="Times New Roman" w:hAnsi="Times New Roman"/>
        </w:rPr>
        <w:t xml:space="preserve">, Principal of the Institution, </w:t>
      </w:r>
      <w:r>
        <w:rPr>
          <w:rFonts w:ascii="Times New Roman" w:hAnsi="Times New Roman"/>
          <w:b/>
        </w:rPr>
        <w:t>Dr. (Mrs.) Sunita Soni</w:t>
      </w:r>
      <w:r>
        <w:rPr>
          <w:rFonts w:ascii="Times New Roman" w:hAnsi="Times New Roman"/>
        </w:rPr>
        <w:t>, Head of the Department Computer Science &amp; Engineering for their encouragement and cordial support.</w:t>
      </w:r>
    </w:p>
    <w:p>
      <w:pPr>
        <w:spacing w:line="360" w:lineRule="auto" w:after="560"/>
        <w:jc w:val="both"/>
      </w:pPr>
      <w:r>
        <w:rPr>
          <w:rFonts w:ascii="Times New Roman" w:hAnsi="Times New Roman"/>
        </w:rPr>
        <w:t xml:space="preserve">While Submission of the project, we also like to thank to </w:t>
      </w:r>
      <w:r>
        <w:rPr>
          <w:rFonts w:ascii="Times New Roman" w:hAnsi="Times New Roman"/>
          <w:b/>
        </w:rPr>
        <w:t>Prof. S. D. Mishra</w:t>
      </w:r>
      <w:r>
        <w:rPr>
          <w:rFonts w:ascii="Times New Roman" w:hAnsi="Times New Roman"/>
        </w:rPr>
        <w:t xml:space="preserve"> for his continuous help and guidance throughout the course of project.</w:t>
      </w:r>
    </w:p>
    <w:p>
      <w:pPr>
        <w:spacing w:before="240" w:line="300" w:lineRule="auto" w:after="0"/>
      </w:pPr>
      <w:r>
        <w:rPr>
          <w:rFonts w:ascii="Times New Roman" w:hAnsi="Times New Roman"/>
          <w:b/>
        </w:rPr>
        <w:t>Name of the Candidate: Aman Adil</w:t>
        <w:br/>
      </w:r>
      <w:r>
        <w:rPr>
          <w:rFonts w:ascii="Times New Roman" w:hAnsi="Times New Roman"/>
        </w:rPr>
        <w:t>University Roll no.: 300102223013</w:t>
        <w:br/>
        <w:t>Enrollment No.: CD8369</w:t>
        <w:br/>
        <w:br/>
      </w:r>
      <w:r>
        <w:rPr>
          <w:rFonts w:ascii="Times New Roman" w:hAnsi="Times New Roman"/>
          <w:b/>
        </w:rPr>
        <w:t>Name of the Candidate: Amit Sahu</w:t>
        <w:br/>
      </w:r>
      <w:r>
        <w:rPr>
          <w:rFonts w:ascii="Times New Roman" w:hAnsi="Times New Roman"/>
        </w:rPr>
        <w:t>University Roll no.: 300102223015</w:t>
        <w:br/>
        <w:t>Enrollment No.: CD8347</w:t>
        <w:br/>
        <w:br/>
      </w:r>
      <w:r>
        <w:rPr>
          <w:rFonts w:ascii="Times New Roman" w:hAnsi="Times New Roman"/>
          <w:b/>
        </w:rPr>
        <w:t>Name of the Candidate: Anupam Sharma</w:t>
        <w:br/>
      </w:r>
      <w:r>
        <w:rPr>
          <w:rFonts w:ascii="Times New Roman" w:hAnsi="Times New Roman"/>
        </w:rPr>
        <w:t>University Roll no.: 300102223023</w:t>
        <w:br/>
        <w:t>Enrollment No.: CD8391</w:t>
        <w:br/>
        <w:br/>
      </w:r>
    </w:p>
    <w:p>
      <w:r>
        <w:br w:type="page"/>
      </w:r>
    </w:p>
    <w:p>
      <w:pPr>
        <w:spacing w:before="200" w:after="480"/>
        <w:jc w:val="center"/>
      </w:pPr>
      <w:r>
        <w:rPr>
          <w:rFonts w:ascii="Times New Roman" w:hAnsi="Times New Roman"/>
          <w:b/>
          <w:sz w:val="32"/>
        </w:rPr>
        <w:t>ABSTRACT</w:t>
      </w:r>
    </w:p>
    <w:p>
      <w:pPr>
        <w:spacing w:line="360" w:lineRule="auto" w:after="240"/>
        <w:jc w:val="both"/>
      </w:pPr>
      <w:r>
        <w:rPr>
          <w:rFonts w:ascii="Times New Roman" w:hAnsi="Times New Roman"/>
        </w:rPr>
        <w:t>AutoDev is an autonomous, full-stack Software Development Life Cycle (SDLC) engineering platform engineered to fundamentally transform how software systems are conceptualized, architected, generated, and verified from natural language requirements. Recognizing that conventional generative AI workflows suffer from acute context dilution, stochastic hallucinations, lack of empirical runtime grounding, and severe vulnerability to upstream API rate-limiting, this project leverages a decoupled multi-agent collaborative network. By replacing fragile, single-prompt code emissions with disciplined software engineering roles—Master Architect, Component DAG Scheduler, CodeGen Agents, and Multi-Critic Arbiters—the platform bridges the gap between conversational assistance and autonomous, production-grade software repository delivery.</w:t>
      </w:r>
    </w:p>
    <w:p>
      <w:pPr>
        <w:spacing w:line="360" w:lineRule="auto" w:after="240"/>
        <w:jc w:val="both"/>
      </w:pPr>
      <w:r>
        <w:rPr>
          <w:rFonts w:ascii="Times New Roman" w:hAnsi="Times New Roman"/>
        </w:rPr>
        <w:t>Under the hood, the system architecture operates across two specialized operational paradigms: a Single-Pass Autonomous SDLC for direct modules and a Component-Wise Parallel Pipeline DAG Engine for enterprise-scale multi-tier systems. The Master Architect decomposes complex requirements into an acyclic dependency graph scheduled concurrently using Kahn’s topological sort and Tarjan’s Strongly Connected Components (SCC) cycle resolution. Concurrency safety is mathematically guaranteed through lease-backed stage mutexes, monotonic epoch fencing, and atomic two-phase handovers that eliminate Coffman’s four deadlock conditions. To ensure high availability against commercial LLM quota exhaustion, a dynamic Multi-Pool Smart API Key Balancer continuously evaluates real-time token exhaustion, applies exponential cooldown penalties, and performs Chi-Square (χ²) fair load distribution across multi-tier provider fallback matrices.</w:t>
      </w:r>
    </w:p>
    <w:p>
      <w:pPr>
        <w:spacing w:line="360" w:lineRule="auto" w:after="280"/>
        <w:jc w:val="both"/>
      </w:pPr>
      <w:r>
        <w:rPr>
          <w:rFonts w:ascii="Times New Roman" w:hAnsi="Times New Roman"/>
        </w:rPr>
        <w:t>To enforce deterministic code correctness, AutoDev couples rootless Docker container execution with an automated multi-critic peer-review network (AST validation, linting, semantic logic verification, and security vulnerability auditing). Candidate code is executed in isolated sandboxes to capture runtime diagnostics and unit test failures, driving autonomous self-healing re-generation loops. The platform delivers an asynchronous, hardware-accelerated translucent web console built with React 19, TypeScript, and Tailwind CSS, featuring an embedded Monaco IDE, real-time Server-Sent Events (SSE) telemetry, timeline Gantt charts, live container previews, and one-click atomic GitHub repository export. Empirical evaluations demonstrate an 88.4% first-cycle compilation rate across polyglot workloads, a 3.4× speedup in multi-component delivery through parallel DAG scheduling, and zero concurrency deadlocks across extensive validated stages.</w:t>
      </w:r>
    </w:p>
    <w:p>
      <w:pPr>
        <w:spacing w:before="200" w:line="312" w:lineRule="auto"/>
      </w:pPr>
      <w:r>
        <w:rPr>
          <w:b/>
        </w:rPr>
        <w:t xml:space="preserve">Keywords: </w:t>
      </w:r>
      <w:r>
        <w:rPr>
          <w:rFonts w:ascii="Times New Roman" w:hAnsi="Times New Roman"/>
        </w:rPr>
        <w:t>Autonomous Multi-Agent Systems, Directed Acyclic Graph (DAG), Software Development Life Cycle (SDLC), Kahn’s Topological Sort, Monotonic Epoch Fencing, Smart API Key Balancer, Docker Sandboxing, LangGraph, Monaco IDE.</w:t>
      </w:r>
    </w:p>
    <w:p>
      <w:r>
        <w:br w:type="page"/>
      </w:r>
    </w:p>
    <w:p>
      <w:pPr>
        <w:spacing w:before="200" w:after="400"/>
        <w:jc w:val="center"/>
      </w:pPr>
      <w:r>
        <w:rPr>
          <w:rFonts w:ascii="Times New Roman" w:hAnsi="Times New Roman"/>
          <w:b/>
          <w:sz w:val="32"/>
        </w:rPr>
        <w:t>TABLE OF CONTENT</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3010"/>
        <w:gridCol w:w="3010"/>
        <w:gridCol w:w="3010"/>
      </w:tblGrid>
      <w:tr>
        <w:trPr>
          <w:cantSplit/>
          <w:tblHeader/>
        </w:trPr>
        <w:tc>
          <w:tcPr>
            <w:tcW w:type="dxa" w:w="1944"/>
            <w:shd w:fill="F2F4F7"/>
            <w:tcMar>
              <w:top w:w="70" w:type="dxa"/>
              <w:bottom w:w="70" w:type="dxa"/>
              <w:left w:w="100" w:type="dxa"/>
              <w:right w:w="100" w:type="dxa"/>
            </w:tcMar>
            <w:vAlign w:val="center"/>
          </w:tcPr>
          <w:p>
            <w:pPr>
              <w:spacing w:before="0" w:after="0"/>
              <w:jc w:val="center"/>
            </w:pPr>
            <w:r>
              <w:rPr>
                <w:rFonts w:ascii="Times New Roman" w:hAnsi="Times New Roman"/>
                <w:b/>
                <w:sz w:val="22"/>
              </w:rPr>
              <w:t>Chapter</w:t>
            </w:r>
          </w:p>
        </w:tc>
        <w:tc>
          <w:tcPr>
            <w:tcW w:type="dxa" w:w="5933"/>
            <w:shd w:fill="F2F4F7"/>
            <w:tcMar>
              <w:top w:w="70" w:type="dxa"/>
              <w:bottom w:w="70" w:type="dxa"/>
              <w:left w:w="100" w:type="dxa"/>
              <w:right w:w="100" w:type="dxa"/>
            </w:tcMar>
            <w:vAlign w:val="center"/>
          </w:tcPr>
          <w:p>
            <w:pPr>
              <w:spacing w:before="0" w:after="0"/>
              <w:jc w:val="left"/>
            </w:pPr>
            <w:r>
              <w:rPr>
                <w:rFonts w:ascii="Times New Roman" w:hAnsi="Times New Roman"/>
                <w:b/>
                <w:sz w:val="22"/>
              </w:rPr>
              <w:t>Title</w:t>
            </w:r>
          </w:p>
        </w:tc>
        <w:tc>
          <w:tcPr>
            <w:tcW w:type="dxa" w:w="1152"/>
            <w:shd w:fill="F2F4F7"/>
            <w:tcMar>
              <w:top w:w="70" w:type="dxa"/>
              <w:bottom w:w="70" w:type="dxa"/>
              <w:left w:w="100" w:type="dxa"/>
              <w:right w:w="100" w:type="dxa"/>
            </w:tcMar>
            <w:vAlign w:val="center"/>
          </w:tcPr>
          <w:p>
            <w:pPr>
              <w:spacing w:before="0" w:after="0"/>
              <w:jc w:val="center"/>
            </w:pPr>
            <w:r>
              <w:rPr>
                <w:rFonts w:ascii="Times New Roman" w:hAnsi="Times New Roman"/>
                <w:b/>
                <w:sz w:val="22"/>
              </w:rPr>
              <w:t>Page No.</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r>
          </w:p>
        </w:tc>
        <w:tc>
          <w:tcPr>
            <w:tcW w:type="dxa" w:w="5933"/>
            <w:tcMar>
              <w:top w:w="50" w:type="dxa"/>
              <w:bottom w:w="50" w:type="dxa"/>
              <w:left w:w="90" w:type="dxa"/>
              <w:right w:w="90" w:type="dxa"/>
            </w:tcMar>
            <w:vAlign w:val="center"/>
          </w:tcPr>
          <w:p>
            <w:pPr>
              <w:spacing w:before="0" w:after="0" w:line="276" w:lineRule="auto"/>
              <w:jc w:val="left"/>
            </w:pPr>
            <w:r>
              <w:rPr>
                <w:rFonts w:ascii="Times New Roman" w:hAnsi="Times New Roman"/>
                <w:sz w:val="21"/>
              </w:rPr>
              <w:t>Declaration by the Candidate(s)</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i</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r>
          </w:p>
        </w:tc>
        <w:tc>
          <w:tcPr>
            <w:tcW w:type="dxa" w:w="5933"/>
            <w:tcMar>
              <w:top w:w="50" w:type="dxa"/>
              <w:bottom w:w="50" w:type="dxa"/>
              <w:left w:w="90" w:type="dxa"/>
              <w:right w:w="90" w:type="dxa"/>
            </w:tcMar>
            <w:vAlign w:val="center"/>
          </w:tcPr>
          <w:p>
            <w:pPr>
              <w:spacing w:before="0" w:after="0" w:line="276" w:lineRule="auto"/>
              <w:jc w:val="left"/>
            </w:pPr>
            <w:r>
              <w:rPr>
                <w:rFonts w:ascii="Times New Roman" w:hAnsi="Times New Roman"/>
                <w:sz w:val="21"/>
              </w:rPr>
              <w:t>Approval Certificate</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ii</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r>
          </w:p>
        </w:tc>
        <w:tc>
          <w:tcPr>
            <w:tcW w:type="dxa" w:w="5933"/>
            <w:tcMar>
              <w:top w:w="50" w:type="dxa"/>
              <w:bottom w:w="50" w:type="dxa"/>
              <w:left w:w="90" w:type="dxa"/>
              <w:right w:w="90" w:type="dxa"/>
            </w:tcMar>
            <w:vAlign w:val="center"/>
          </w:tcPr>
          <w:p>
            <w:pPr>
              <w:spacing w:before="0" w:after="0" w:line="276" w:lineRule="auto"/>
              <w:jc w:val="left"/>
            </w:pPr>
            <w:r>
              <w:rPr>
                <w:rFonts w:ascii="Times New Roman" w:hAnsi="Times New Roman"/>
                <w:sz w:val="21"/>
              </w:rPr>
              <w:t>Certificate by the Examiners</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iii</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r>
          </w:p>
        </w:tc>
        <w:tc>
          <w:tcPr>
            <w:tcW w:type="dxa" w:w="5933"/>
            <w:tcMar>
              <w:top w:w="50" w:type="dxa"/>
              <w:bottom w:w="50" w:type="dxa"/>
              <w:left w:w="90" w:type="dxa"/>
              <w:right w:w="90" w:type="dxa"/>
            </w:tcMar>
            <w:vAlign w:val="center"/>
          </w:tcPr>
          <w:p>
            <w:pPr>
              <w:spacing w:before="0" w:after="0" w:line="276" w:lineRule="auto"/>
              <w:jc w:val="left"/>
            </w:pPr>
            <w:r>
              <w:rPr>
                <w:rFonts w:ascii="Times New Roman" w:hAnsi="Times New Roman"/>
                <w:sz w:val="21"/>
              </w:rPr>
              <w:t>Acknowledgement</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iv</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r>
          </w:p>
        </w:tc>
        <w:tc>
          <w:tcPr>
            <w:tcW w:type="dxa" w:w="5933"/>
            <w:tcMar>
              <w:top w:w="50" w:type="dxa"/>
              <w:bottom w:w="50" w:type="dxa"/>
              <w:left w:w="90" w:type="dxa"/>
              <w:right w:w="90" w:type="dxa"/>
            </w:tcMar>
            <w:vAlign w:val="center"/>
          </w:tcPr>
          <w:p>
            <w:pPr>
              <w:spacing w:before="0" w:after="0" w:line="276" w:lineRule="auto"/>
              <w:jc w:val="left"/>
            </w:pPr>
            <w:r>
              <w:rPr>
                <w:rFonts w:ascii="Times New Roman" w:hAnsi="Times New Roman"/>
                <w:sz w:val="21"/>
              </w:rPr>
              <w:t>Abstract</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v</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r>
          </w:p>
        </w:tc>
        <w:tc>
          <w:tcPr>
            <w:tcW w:type="dxa" w:w="5933"/>
            <w:tcMar>
              <w:top w:w="50" w:type="dxa"/>
              <w:bottom w:w="50" w:type="dxa"/>
              <w:left w:w="90" w:type="dxa"/>
              <w:right w:w="90" w:type="dxa"/>
            </w:tcMar>
            <w:vAlign w:val="center"/>
          </w:tcPr>
          <w:p>
            <w:pPr>
              <w:spacing w:before="0" w:after="0" w:line="276" w:lineRule="auto"/>
              <w:jc w:val="left"/>
            </w:pPr>
            <w:r>
              <w:rPr>
                <w:rFonts w:ascii="Times New Roman" w:hAnsi="Times New Roman"/>
                <w:sz w:val="21"/>
              </w:rPr>
              <w:t>List of Figures</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viii</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r>
          </w:p>
        </w:tc>
        <w:tc>
          <w:tcPr>
            <w:tcW w:type="dxa" w:w="5933"/>
            <w:tcMar>
              <w:top w:w="50" w:type="dxa"/>
              <w:bottom w:w="50" w:type="dxa"/>
              <w:left w:w="90" w:type="dxa"/>
              <w:right w:w="90" w:type="dxa"/>
            </w:tcMar>
            <w:vAlign w:val="center"/>
          </w:tcPr>
          <w:p>
            <w:pPr>
              <w:spacing w:before="0" w:after="0" w:line="276" w:lineRule="auto"/>
              <w:jc w:val="left"/>
            </w:pPr>
            <w:r>
              <w:rPr>
                <w:rFonts w:ascii="Times New Roman" w:hAnsi="Times New Roman"/>
                <w:sz w:val="21"/>
              </w:rPr>
              <w:t>List of Tables</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x</w:t>
            </w:r>
          </w:p>
        </w:tc>
      </w:tr>
      <w:tr>
        <w:trPr>
          <w:cantSplit/>
        </w:trPr>
        <w:tc>
          <w:tcPr>
            <w:tcW w:type="dxa" w:w="1944"/>
            <w:tcMar>
              <w:top w:w="50" w:type="dxa"/>
              <w:bottom w:w="50" w:type="dxa"/>
              <w:left w:w="90" w:type="dxa"/>
              <w:right w:w="90" w:type="dxa"/>
            </w:tcMar>
            <w:vAlign w:val="center"/>
          </w:tcPr>
          <w:p>
            <w:pPr>
              <w:spacing w:before="0" w:after="0" w:line="276" w:lineRule="auto"/>
              <w:jc w:val="center"/>
            </w:pPr>
            <w:r>
              <w:rPr>
                <w:rFonts w:ascii="Times New Roman" w:hAnsi="Times New Roman"/>
                <w:b/>
                <w:sz w:val="22"/>
              </w:rPr>
              <w:t>CHAPTER: 1</w:t>
            </w:r>
          </w:p>
        </w:tc>
        <w:tc>
          <w:tcPr>
            <w:tcW w:type="dxa" w:w="5933"/>
            <w:tcMar>
              <w:top w:w="50" w:type="dxa"/>
              <w:bottom w:w="50" w:type="dxa"/>
              <w:left w:w="90" w:type="dxa"/>
              <w:right w:w="90" w:type="dxa"/>
            </w:tcMar>
            <w:vAlign w:val="center"/>
          </w:tcPr>
          <w:p>
            <w:pPr>
              <w:spacing w:before="0" w:after="0" w:line="276" w:lineRule="auto"/>
              <w:jc w:val="left"/>
            </w:pPr>
            <w:r>
              <w:rPr>
                <w:rFonts w:ascii="Times New Roman" w:hAnsi="Times New Roman"/>
                <w:b/>
                <w:sz w:val="22"/>
              </w:rPr>
              <w:t>INTRODUCTION</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b/>
                <w:sz w:val="22"/>
              </w:rPr>
              <w:t>1</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1.1</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Introduction</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1</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1.2</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Research Background and Motivation</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1</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1.3</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Overview of the System</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3</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1.4</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Organization of Report</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5</w:t>
            </w:r>
          </w:p>
        </w:tc>
      </w:tr>
      <w:tr>
        <w:trPr>
          <w:cantSplit/>
        </w:trPr>
        <w:tc>
          <w:tcPr>
            <w:tcW w:type="dxa" w:w="1944"/>
            <w:tcMar>
              <w:top w:w="50" w:type="dxa"/>
              <w:bottom w:w="50" w:type="dxa"/>
              <w:left w:w="90" w:type="dxa"/>
              <w:right w:w="90" w:type="dxa"/>
            </w:tcMar>
            <w:vAlign w:val="center"/>
          </w:tcPr>
          <w:p>
            <w:pPr>
              <w:spacing w:before="0" w:after="0" w:line="276" w:lineRule="auto"/>
              <w:jc w:val="center"/>
            </w:pPr>
            <w:r>
              <w:rPr>
                <w:rFonts w:ascii="Times New Roman" w:hAnsi="Times New Roman"/>
                <w:b/>
                <w:sz w:val="22"/>
              </w:rPr>
              <w:t>CHAPTER: 2</w:t>
            </w:r>
          </w:p>
        </w:tc>
        <w:tc>
          <w:tcPr>
            <w:tcW w:type="dxa" w:w="5933"/>
            <w:tcMar>
              <w:top w:w="50" w:type="dxa"/>
              <w:bottom w:w="50" w:type="dxa"/>
              <w:left w:w="90" w:type="dxa"/>
              <w:right w:w="90" w:type="dxa"/>
            </w:tcMar>
            <w:vAlign w:val="center"/>
          </w:tcPr>
          <w:p>
            <w:pPr>
              <w:spacing w:before="0" w:after="0" w:line="276" w:lineRule="auto"/>
              <w:jc w:val="left"/>
            </w:pPr>
            <w:r>
              <w:rPr>
                <w:rFonts w:ascii="Times New Roman" w:hAnsi="Times New Roman"/>
                <w:b/>
                <w:sz w:val="22"/>
              </w:rPr>
              <w:t>LITERATURE REVIEW</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b/>
                <w:sz w:val="22"/>
              </w:rPr>
              <w:t>6</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2.1</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Evolution of Autonomous Software Engineering &amp; Multi-Agent Frameworks</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6</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2.2</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Directed Acyclic Graph (DAG) Scheduling &amp; Cycle Detection in Program Synthesis</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8</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2.3</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Distributed State Synchronization, Mutex Locking &amp; Monotonic Epoch Fencing</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9</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2.4</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Sandboxed Container Execution &amp; Multi-Critic Automated Peer Review</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10</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2.5</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Existing Systems &amp; Comparative Limitations</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12</w:t>
            </w:r>
          </w:p>
        </w:tc>
      </w:tr>
      <w:tr>
        <w:trPr>
          <w:cantSplit/>
        </w:trPr>
        <w:tc>
          <w:tcPr>
            <w:tcW w:type="dxa" w:w="1944"/>
            <w:tcMar>
              <w:top w:w="50" w:type="dxa"/>
              <w:bottom w:w="50" w:type="dxa"/>
              <w:left w:w="90" w:type="dxa"/>
              <w:right w:w="90" w:type="dxa"/>
            </w:tcMar>
            <w:vAlign w:val="center"/>
          </w:tcPr>
          <w:p>
            <w:pPr>
              <w:spacing w:before="0" w:after="0" w:line="276" w:lineRule="auto"/>
              <w:jc w:val="center"/>
            </w:pPr>
            <w:r>
              <w:rPr>
                <w:rFonts w:ascii="Times New Roman" w:hAnsi="Times New Roman"/>
                <w:b/>
                <w:sz w:val="22"/>
              </w:rPr>
              <w:t>CHAPTER: 3</w:t>
            </w:r>
          </w:p>
        </w:tc>
        <w:tc>
          <w:tcPr>
            <w:tcW w:type="dxa" w:w="5933"/>
            <w:tcMar>
              <w:top w:w="50" w:type="dxa"/>
              <w:bottom w:w="50" w:type="dxa"/>
              <w:left w:w="90" w:type="dxa"/>
              <w:right w:w="90" w:type="dxa"/>
            </w:tcMar>
            <w:vAlign w:val="center"/>
          </w:tcPr>
          <w:p>
            <w:pPr>
              <w:spacing w:before="0" w:after="0" w:line="276" w:lineRule="auto"/>
              <w:jc w:val="left"/>
            </w:pPr>
            <w:r>
              <w:rPr>
                <w:rFonts w:ascii="Times New Roman" w:hAnsi="Times New Roman"/>
                <w:b/>
                <w:sz w:val="22"/>
              </w:rPr>
              <w:t>PROBLEM IDENTIFICATION AND OBJECTIVE</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b/>
                <w:sz w:val="22"/>
              </w:rPr>
              <w:t>14</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3.1</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Statement of the Problem</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14</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3.2</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Objectives of the Project</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15</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3.3</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Scope of the Project</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16</w:t>
            </w:r>
          </w:p>
        </w:tc>
      </w:tr>
      <w:tr>
        <w:trPr>
          <w:cantSplit/>
        </w:trPr>
        <w:tc>
          <w:tcPr>
            <w:tcW w:type="dxa" w:w="1944"/>
            <w:tcMar>
              <w:top w:w="50" w:type="dxa"/>
              <w:bottom w:w="50" w:type="dxa"/>
              <w:left w:w="90" w:type="dxa"/>
              <w:right w:w="90" w:type="dxa"/>
            </w:tcMar>
            <w:vAlign w:val="center"/>
          </w:tcPr>
          <w:p>
            <w:pPr>
              <w:spacing w:before="0" w:after="0" w:line="276" w:lineRule="auto"/>
              <w:jc w:val="center"/>
            </w:pPr>
            <w:r>
              <w:rPr>
                <w:rFonts w:ascii="Times New Roman" w:hAnsi="Times New Roman"/>
                <w:b/>
                <w:sz w:val="22"/>
              </w:rPr>
              <w:t>CHAPTER: 4</w:t>
            </w:r>
          </w:p>
        </w:tc>
        <w:tc>
          <w:tcPr>
            <w:tcW w:type="dxa" w:w="5933"/>
            <w:tcMar>
              <w:top w:w="50" w:type="dxa"/>
              <w:bottom w:w="50" w:type="dxa"/>
              <w:left w:w="90" w:type="dxa"/>
              <w:right w:w="90" w:type="dxa"/>
            </w:tcMar>
            <w:vAlign w:val="center"/>
          </w:tcPr>
          <w:p>
            <w:pPr>
              <w:spacing w:before="0" w:after="0" w:line="276" w:lineRule="auto"/>
              <w:jc w:val="left"/>
            </w:pPr>
            <w:r>
              <w:rPr>
                <w:rFonts w:ascii="Times New Roman" w:hAnsi="Times New Roman"/>
                <w:b/>
                <w:sz w:val="22"/>
              </w:rPr>
              <w:t>METHODOLOGY</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b/>
                <w:sz w:val="22"/>
              </w:rPr>
              <w:t>17</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4.1</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System Architecture &amp; Multi-Agent Topology</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17</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4.2</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Component DAG Scheduler &amp; Tarjan’s SCC Cycle Resolution</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19</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4.3</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Concurrency Control: Lease-Backed Mutexes &amp; Monotonic Epoch Fencing</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21</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4.4</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Dynamic Multi-Pool Smart API Key Balancer &amp; Chi-Square Fair Distribution</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23</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4.5</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Universal Rootless Docker Sandbox &amp; Runtime Isolation Engine</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25</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4.6</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Multi-Critic Peer-Review &amp; Closed-Loop Self-Healing Network</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27</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4.7</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Database Schema &amp; Write-Ahead Event Telemetry Architecture</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29</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4.8</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Technology Stack Selection &amp; Justification</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30</w:t>
            </w:r>
          </w:p>
        </w:tc>
      </w:tr>
      <w:tr>
        <w:trPr>
          <w:cantSplit/>
        </w:trPr>
        <w:tc>
          <w:tcPr>
            <w:tcW w:type="dxa" w:w="1944"/>
            <w:tcMar>
              <w:top w:w="50" w:type="dxa"/>
              <w:bottom w:w="50" w:type="dxa"/>
              <w:left w:w="90" w:type="dxa"/>
              <w:right w:w="90" w:type="dxa"/>
            </w:tcMar>
            <w:vAlign w:val="center"/>
          </w:tcPr>
          <w:p>
            <w:pPr>
              <w:spacing w:before="0" w:after="0" w:line="276" w:lineRule="auto"/>
              <w:jc w:val="center"/>
            </w:pPr>
            <w:r>
              <w:rPr>
                <w:rFonts w:ascii="Times New Roman" w:hAnsi="Times New Roman"/>
                <w:b/>
                <w:sz w:val="22"/>
              </w:rPr>
              <w:t>CHAPTER: 5</w:t>
            </w:r>
          </w:p>
        </w:tc>
        <w:tc>
          <w:tcPr>
            <w:tcW w:type="dxa" w:w="5933"/>
            <w:tcMar>
              <w:top w:w="50" w:type="dxa"/>
              <w:bottom w:w="50" w:type="dxa"/>
              <w:left w:w="90" w:type="dxa"/>
              <w:right w:w="90" w:type="dxa"/>
            </w:tcMar>
            <w:vAlign w:val="center"/>
          </w:tcPr>
          <w:p>
            <w:pPr>
              <w:spacing w:before="0" w:after="0" w:line="276" w:lineRule="auto"/>
              <w:jc w:val="left"/>
            </w:pPr>
            <w:r>
              <w:rPr>
                <w:rFonts w:ascii="Times New Roman" w:hAnsi="Times New Roman"/>
                <w:b/>
                <w:sz w:val="22"/>
              </w:rPr>
              <w:t>RESULTS AND DISCUSSION</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b/>
                <w:sz w:val="22"/>
              </w:rPr>
              <w:t>32</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5.1</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User Interface Architecture &amp; Operational Workflow</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32</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5.1.1</w:t>
            </w:r>
          </w:p>
        </w:tc>
        <w:tc>
          <w:tcPr>
            <w:tcW w:type="dxa" w:w="5933"/>
            <w:tcMar>
              <w:top w:w="50" w:type="dxa"/>
              <w:bottom w:w="50" w:type="dxa"/>
              <w:left w:w="90" w:type="dxa"/>
              <w:right w:w="90" w:type="dxa"/>
            </w:tcMar>
            <w:vAlign w:val="center"/>
          </w:tcPr>
          <w:p>
            <w:pPr>
              <w:spacing w:before="0" w:after="0" w:line="276" w:lineRule="auto"/>
              <w:ind w:left="504"/>
              <w:jc w:val="left"/>
            </w:pPr>
            <w:r>
              <w:rPr>
                <w:rFonts w:ascii="Times New Roman" w:hAnsi="Times New Roman"/>
                <w:sz w:val="20"/>
              </w:rPr>
              <w:t>Landing &amp; Workspace Management Hub</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32</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5.1.2</w:t>
            </w:r>
          </w:p>
        </w:tc>
        <w:tc>
          <w:tcPr>
            <w:tcW w:type="dxa" w:w="5933"/>
            <w:tcMar>
              <w:top w:w="50" w:type="dxa"/>
              <w:bottom w:w="50" w:type="dxa"/>
              <w:left w:w="90" w:type="dxa"/>
              <w:right w:w="90" w:type="dxa"/>
            </w:tcMar>
            <w:vAlign w:val="center"/>
          </w:tcPr>
          <w:p>
            <w:pPr>
              <w:spacing w:before="0" w:after="0" w:line="276" w:lineRule="auto"/>
              <w:ind w:left="504"/>
              <w:jc w:val="left"/>
            </w:pPr>
            <w:r>
              <w:rPr>
                <w:rFonts w:ascii="Times New Roman" w:hAnsi="Times New Roman"/>
                <w:sz w:val="20"/>
              </w:rPr>
              <w:t>Dual Operational Paradigm: Single-Pass SDLC vs. Component DAG Engine</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33</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5.2</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Interactive Requirements Ingestion &amp; Blueprint Specification</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35</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5.3</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Component Dependency Graph Visualization &amp; Real-Time Gantt Telemetry</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37</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5.4</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Embedded Monaco IDE, Multi-File Explorer &amp; SSE Log Streaming</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39</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5.5</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Isolated Docker Verification Terminal &amp; Runtime Diagnostics</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41</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5.6</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Multi-Critic Peer-Review &amp; Autonomous Self-Healing Patching Loop</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43</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5.7</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Repository Synthesis, Unified Packaging &amp; Live Container Preview</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45</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5.8</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Multi-Pool API Key Health Matrix &amp; One-Click GitHub Export</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47</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5.9</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Empirical Performance Evaluation &amp; Benchmark Results</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48</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5.9.1</w:t>
            </w:r>
          </w:p>
        </w:tc>
        <w:tc>
          <w:tcPr>
            <w:tcW w:type="dxa" w:w="5933"/>
            <w:tcMar>
              <w:top w:w="50" w:type="dxa"/>
              <w:bottom w:w="50" w:type="dxa"/>
              <w:left w:w="90" w:type="dxa"/>
              <w:right w:w="90" w:type="dxa"/>
            </w:tcMar>
            <w:vAlign w:val="center"/>
          </w:tcPr>
          <w:p>
            <w:pPr>
              <w:spacing w:before="0" w:after="0" w:line="276" w:lineRule="auto"/>
              <w:ind w:left="504"/>
              <w:jc w:val="left"/>
            </w:pPr>
            <w:r>
              <w:rPr>
                <w:rFonts w:ascii="Times New Roman" w:hAnsi="Times New Roman"/>
                <w:sz w:val="20"/>
              </w:rPr>
              <w:t>First-Cycle Compilation &amp; Execution Success Rates</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48</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5.9.2</w:t>
            </w:r>
          </w:p>
        </w:tc>
        <w:tc>
          <w:tcPr>
            <w:tcW w:type="dxa" w:w="5933"/>
            <w:tcMar>
              <w:top w:w="50" w:type="dxa"/>
              <w:bottom w:w="50" w:type="dxa"/>
              <w:left w:w="90" w:type="dxa"/>
              <w:right w:w="90" w:type="dxa"/>
            </w:tcMar>
            <w:vAlign w:val="center"/>
          </w:tcPr>
          <w:p>
            <w:pPr>
              <w:spacing w:before="0" w:after="0" w:line="276" w:lineRule="auto"/>
              <w:ind w:left="504"/>
              <w:jc w:val="left"/>
            </w:pPr>
            <w:r>
              <w:rPr>
                <w:rFonts w:ascii="Times New Roman" w:hAnsi="Times New Roman"/>
                <w:sz w:val="20"/>
              </w:rPr>
              <w:t>DAG Concurrency Speedup &amp; Throughput Analysis</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50</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5.9.3</w:t>
            </w:r>
          </w:p>
        </w:tc>
        <w:tc>
          <w:tcPr>
            <w:tcW w:type="dxa" w:w="5933"/>
            <w:tcMar>
              <w:top w:w="50" w:type="dxa"/>
              <w:bottom w:w="50" w:type="dxa"/>
              <w:left w:w="90" w:type="dxa"/>
              <w:right w:w="90" w:type="dxa"/>
            </w:tcMar>
            <w:vAlign w:val="center"/>
          </w:tcPr>
          <w:p>
            <w:pPr>
              <w:spacing w:before="0" w:after="0" w:line="276" w:lineRule="auto"/>
              <w:ind w:left="504"/>
              <w:jc w:val="left"/>
            </w:pPr>
            <w:r>
              <w:rPr>
                <w:rFonts w:ascii="Times New Roman" w:hAnsi="Times New Roman"/>
                <w:sz w:val="20"/>
              </w:rPr>
              <w:t>Mathematical Verification of Deadlock Freedom</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51</w:t>
            </w:r>
          </w:p>
        </w:tc>
      </w:tr>
      <w:tr>
        <w:trPr>
          <w:cantSplit/>
        </w:trPr>
        <w:tc>
          <w:tcPr>
            <w:tcW w:type="dxa" w:w="1944"/>
            <w:tcMar>
              <w:top w:w="50" w:type="dxa"/>
              <w:bottom w:w="50" w:type="dxa"/>
              <w:left w:w="90" w:type="dxa"/>
              <w:right w:w="90" w:type="dxa"/>
            </w:tcMar>
            <w:vAlign w:val="center"/>
          </w:tcPr>
          <w:p>
            <w:pPr>
              <w:spacing w:before="0" w:after="0" w:line="276" w:lineRule="auto"/>
              <w:jc w:val="center"/>
            </w:pPr>
            <w:r>
              <w:rPr>
                <w:rFonts w:ascii="Times New Roman" w:hAnsi="Times New Roman"/>
                <w:b/>
                <w:sz w:val="22"/>
              </w:rPr>
              <w:t>CHAPTER: 6</w:t>
            </w:r>
          </w:p>
        </w:tc>
        <w:tc>
          <w:tcPr>
            <w:tcW w:type="dxa" w:w="5933"/>
            <w:tcMar>
              <w:top w:w="50" w:type="dxa"/>
              <w:bottom w:w="50" w:type="dxa"/>
              <w:left w:w="90" w:type="dxa"/>
              <w:right w:w="90" w:type="dxa"/>
            </w:tcMar>
            <w:vAlign w:val="center"/>
          </w:tcPr>
          <w:p>
            <w:pPr>
              <w:spacing w:before="0" w:after="0" w:line="276" w:lineRule="auto"/>
              <w:jc w:val="left"/>
            </w:pPr>
            <w:r>
              <w:rPr>
                <w:rFonts w:ascii="Times New Roman" w:hAnsi="Times New Roman"/>
                <w:b/>
                <w:sz w:val="22"/>
              </w:rPr>
              <w:t>CONCLUSIONS AND FUTURE SCOPE OF WORK</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b/>
                <w:sz w:val="22"/>
              </w:rPr>
              <w:t>52</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6.1</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Conclusions</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52</w:t>
            </w:r>
          </w:p>
        </w:tc>
      </w:tr>
      <w:tr>
        <w:trPr>
          <w:cantSplit/>
        </w:trPr>
        <w:tc>
          <w:tcPr>
            <w:tcW w:type="dxa" w:w="1944"/>
            <w:tcMar>
              <w:top w:w="50" w:type="dxa"/>
              <w:bottom w:w="50" w:type="dxa"/>
              <w:left w:w="90" w:type="dxa"/>
              <w:right w:w="90" w:type="dxa"/>
            </w:tcMar>
            <w:vAlign w:val="center"/>
          </w:tcPr>
          <w:p>
            <w:pPr>
              <w:spacing w:before="0" w:after="0" w:line="276" w:lineRule="auto"/>
              <w:jc w:val="left"/>
            </w:pPr>
            <w:r>
              <w:rPr>
                <w:rFonts w:ascii="Times New Roman" w:hAnsi="Times New Roman"/>
                <w:sz w:val="21"/>
              </w:rPr>
              <w:t>6.2</w:t>
            </w:r>
          </w:p>
        </w:tc>
        <w:tc>
          <w:tcPr>
            <w:tcW w:type="dxa" w:w="5933"/>
            <w:tcMar>
              <w:top w:w="50" w:type="dxa"/>
              <w:bottom w:w="50" w:type="dxa"/>
              <w:left w:w="90" w:type="dxa"/>
              <w:right w:w="90" w:type="dxa"/>
            </w:tcMar>
            <w:vAlign w:val="center"/>
          </w:tcPr>
          <w:p>
            <w:pPr>
              <w:spacing w:before="0" w:after="0" w:line="276" w:lineRule="auto"/>
              <w:ind w:left="216"/>
              <w:jc w:val="left"/>
            </w:pPr>
            <w:r>
              <w:rPr>
                <w:rFonts w:ascii="Times New Roman" w:hAnsi="Times New Roman"/>
                <w:sz w:val="21"/>
              </w:rPr>
              <w:t>Future Scope of Work</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sz w:val="21"/>
              </w:rPr>
              <w:t>53</w:t>
            </w:r>
          </w:p>
        </w:tc>
      </w:tr>
      <w:tr>
        <w:trPr>
          <w:cantSplit/>
        </w:trPr>
        <w:tc>
          <w:tcPr>
            <w:tcW w:type="dxa" w:w="1944"/>
            <w:tcMar>
              <w:top w:w="50" w:type="dxa"/>
              <w:bottom w:w="50" w:type="dxa"/>
              <w:left w:w="90" w:type="dxa"/>
              <w:right w:w="90" w:type="dxa"/>
            </w:tcMar>
            <w:vAlign w:val="center"/>
          </w:tcPr>
          <w:p>
            <w:pPr>
              <w:spacing w:before="0" w:after="0" w:line="276" w:lineRule="auto"/>
              <w:jc w:val="center"/>
            </w:pPr>
            <w:r>
              <w:rPr>
                <w:rFonts w:ascii="Times New Roman" w:hAnsi="Times New Roman"/>
                <w:b/>
                <w:sz w:val="22"/>
              </w:rPr>
            </w:r>
          </w:p>
        </w:tc>
        <w:tc>
          <w:tcPr>
            <w:tcW w:type="dxa" w:w="5933"/>
            <w:tcMar>
              <w:top w:w="50" w:type="dxa"/>
              <w:bottom w:w="50" w:type="dxa"/>
              <w:left w:w="90" w:type="dxa"/>
              <w:right w:w="90" w:type="dxa"/>
            </w:tcMar>
            <w:vAlign w:val="center"/>
          </w:tcPr>
          <w:p>
            <w:pPr>
              <w:spacing w:before="0" w:after="0" w:line="276" w:lineRule="auto"/>
              <w:jc w:val="left"/>
            </w:pPr>
            <w:r>
              <w:rPr>
                <w:rFonts w:ascii="Times New Roman" w:hAnsi="Times New Roman"/>
                <w:b/>
                <w:sz w:val="22"/>
              </w:rPr>
              <w:t>REFERENCES</w:t>
            </w:r>
          </w:p>
        </w:tc>
        <w:tc>
          <w:tcPr>
            <w:tcW w:type="dxa" w:w="1152"/>
            <w:tcMar>
              <w:top w:w="50" w:type="dxa"/>
              <w:bottom w:w="50" w:type="dxa"/>
              <w:left w:w="90" w:type="dxa"/>
              <w:right w:w="90" w:type="dxa"/>
            </w:tcMar>
            <w:vAlign w:val="center"/>
          </w:tcPr>
          <w:p>
            <w:pPr>
              <w:spacing w:before="0" w:after="0" w:line="276" w:lineRule="auto"/>
              <w:jc w:val="center"/>
            </w:pPr>
            <w:r>
              <w:rPr>
                <w:rFonts w:ascii="Times New Roman" w:hAnsi="Times New Roman"/>
                <w:b/>
                <w:sz w:val="22"/>
              </w:rPr>
              <w:t>55</w:t>
            </w:r>
          </w:p>
        </w:tc>
      </w:tr>
    </w:tbl>
    <w:p>
      <w:r>
        <w:br w:type="page"/>
      </w:r>
    </w:p>
    <w:p>
      <w:pPr>
        <w:spacing w:before="200" w:after="400"/>
        <w:jc w:val="center"/>
      </w:pPr>
      <w:r>
        <w:rPr>
          <w:rFonts w:ascii="Times New Roman" w:hAnsi="Times New Roman"/>
          <w:b/>
          <w:sz w:val="32"/>
        </w:rPr>
        <w:t>LIST OF FIGURES</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3010"/>
        <w:gridCol w:w="3010"/>
        <w:gridCol w:w="3010"/>
      </w:tblGrid>
      <w:tr>
        <w:trPr>
          <w:cantSplit/>
          <w:tblHeader/>
        </w:trPr>
        <w:tc>
          <w:tcPr>
            <w:tcW w:type="dxa" w:w="1584"/>
            <w:shd w:fill="F2F4F7"/>
            <w:tcMar>
              <w:top w:w="70" w:type="dxa"/>
              <w:bottom w:w="70" w:type="dxa"/>
              <w:left w:w="100" w:type="dxa"/>
              <w:right w:w="100" w:type="dxa"/>
            </w:tcMar>
            <w:vAlign w:val="center"/>
          </w:tcPr>
          <w:p>
            <w:pPr>
              <w:spacing w:before="0" w:after="0"/>
              <w:jc w:val="center"/>
            </w:pPr>
            <w:r>
              <w:rPr>
                <w:rFonts w:ascii="Times New Roman" w:hAnsi="Times New Roman"/>
                <w:b/>
                <w:sz w:val="22"/>
              </w:rPr>
              <w:t>Fig No.</w:t>
            </w:r>
          </w:p>
        </w:tc>
        <w:tc>
          <w:tcPr>
            <w:tcW w:type="dxa" w:w="6293"/>
            <w:shd w:fill="F2F4F7"/>
            <w:tcMar>
              <w:top w:w="70" w:type="dxa"/>
              <w:bottom w:w="70" w:type="dxa"/>
              <w:left w:w="100" w:type="dxa"/>
              <w:right w:w="100" w:type="dxa"/>
            </w:tcMar>
            <w:vAlign w:val="center"/>
          </w:tcPr>
          <w:p>
            <w:pPr>
              <w:spacing w:before="0" w:after="0"/>
              <w:jc w:val="left"/>
            </w:pPr>
            <w:r>
              <w:rPr>
                <w:rFonts w:ascii="Times New Roman" w:hAnsi="Times New Roman"/>
                <w:b/>
                <w:sz w:val="22"/>
              </w:rPr>
              <w:t>Title</w:t>
            </w:r>
          </w:p>
        </w:tc>
        <w:tc>
          <w:tcPr>
            <w:tcW w:type="dxa" w:w="1152"/>
            <w:shd w:fill="F2F4F7"/>
            <w:tcMar>
              <w:top w:w="70" w:type="dxa"/>
              <w:bottom w:w="70" w:type="dxa"/>
              <w:left w:w="100" w:type="dxa"/>
              <w:right w:w="100" w:type="dxa"/>
            </w:tcMar>
            <w:vAlign w:val="center"/>
          </w:tcPr>
          <w:p>
            <w:pPr>
              <w:spacing w:before="0" w:after="0"/>
              <w:jc w:val="center"/>
            </w:pPr>
            <w:r>
              <w:rPr>
                <w:rFonts w:ascii="Times New Roman" w:hAnsi="Times New Roman"/>
                <w:b/>
                <w:sz w:val="22"/>
              </w:rPr>
              <w:t>Page No.</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4.1</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High-Level Multi-Agent System Architecture Topology</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18</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4.2</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Component Dependency Graph Scheduling &amp; Tarjan SCC Cycle Resolution Flowchart</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20</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4.3</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Concurrency Control Lifecycle with Lease-Backed Mutexes and Monotonic Epoch Fencing</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22</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4.4</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Dynamic Multi-Pool Smart API Key Balancer State Machine &amp; Cooldown Decay</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24</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4.5</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Universal Rootless Docker Sandbox &amp; Ephemeral Container Execution Lifecycle</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26</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4.6</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Multi-Critic Peer-Review &amp; Closed-Loop Self-Healing Arbitration Network</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28</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4.7</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Database Entity-Relationship &amp; Write-Ahead Event Telemetry Schema</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29</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5.1</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AutoDev Landing Interface &amp; Workspace Management Hub</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32</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5.2</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User Authentication &amp; Multi-Provider API Configuration Modal</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33</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5.3</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Stage 1 — Interactive Requirements Scoping &amp; Clarification Interface</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35</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5.4</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Stage 2 — Master Architect System Blueprint &amp; Module Decomposition</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36</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5.5</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Stage 3 — Component Pipeline DAG Visualizer &amp; Dynamic Track Allocator</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38</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5.6</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Stages 4 &amp; 5 — Embedded Monaco IDE &amp; Multi-File Code Synthesis Terminal</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40</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5.7</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Stage 6 — Isolated Docker Sandbox Execution &amp; Runtime Test Terminal</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42</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5.8</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Stage 7 — Multi-Critic Peer-Review Consensus &amp; AST Validation Dashboard</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44</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5.9</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Stage 8 — Full Repository Assembly &amp; Live Container Application Preview</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45</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5.10</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Stage 9 — Chronological Execution Timeline &amp; Component Gantt Telemetry</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46</w:t>
            </w:r>
          </w:p>
        </w:tc>
      </w:tr>
      <w:tr>
        <w:trPr>
          <w:cantSplit/>
        </w:trPr>
        <w:tc>
          <w:tcPr>
            <w:tcW w:type="dxa" w:w="1584"/>
            <w:tcMar>
              <w:top w:w="55" w:type="dxa"/>
              <w:bottom w:w="55" w:type="dxa"/>
              <w:left w:w="90" w:type="dxa"/>
              <w:right w:w="90" w:type="dxa"/>
            </w:tcMar>
            <w:vAlign w:val="center"/>
          </w:tcPr>
          <w:p>
            <w:pPr>
              <w:spacing w:before="0" w:after="0" w:line="276" w:lineRule="auto"/>
              <w:jc w:val="center"/>
            </w:pPr>
            <w:r>
              <w:rPr>
                <w:rFonts w:ascii="Times New Roman" w:hAnsi="Times New Roman"/>
                <w:sz w:val="21"/>
              </w:rPr>
              <w:t>5.11</w:t>
            </w:r>
          </w:p>
        </w:tc>
        <w:tc>
          <w:tcPr>
            <w:tcW w:type="dxa" w:w="6293"/>
            <w:tcMar>
              <w:top w:w="55" w:type="dxa"/>
              <w:bottom w:w="55" w:type="dxa"/>
              <w:left w:w="90" w:type="dxa"/>
              <w:right w:w="90" w:type="dxa"/>
            </w:tcMar>
            <w:vAlign w:val="center"/>
          </w:tcPr>
          <w:p>
            <w:pPr>
              <w:spacing w:before="0" w:after="0" w:line="276" w:lineRule="auto"/>
              <w:jc w:val="left"/>
            </w:pPr>
            <w:r>
              <w:rPr>
                <w:rFonts w:ascii="Times New Roman" w:hAnsi="Times New Roman"/>
                <w:sz w:val="21"/>
              </w:rPr>
              <w:t>Stage 10 — One-Click Atomic GitHub Export Modal</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47</w:t>
            </w:r>
          </w:p>
        </w:tc>
      </w:tr>
    </w:tbl>
    <w:p>
      <w:r>
        <w:br w:type="page"/>
      </w:r>
    </w:p>
    <w:p>
      <w:pPr>
        <w:spacing w:before="200" w:after="400"/>
        <w:jc w:val="center"/>
      </w:pPr>
      <w:r>
        <w:rPr>
          <w:rFonts w:ascii="Times New Roman" w:hAnsi="Times New Roman"/>
          <w:b/>
          <w:sz w:val="32"/>
        </w:rPr>
        <w:t>LIST OF TABLES</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3010"/>
        <w:gridCol w:w="3010"/>
        <w:gridCol w:w="3010"/>
      </w:tblGrid>
      <w:tr>
        <w:trPr>
          <w:cantSplit/>
          <w:tblHeader/>
        </w:trPr>
        <w:tc>
          <w:tcPr>
            <w:tcW w:type="dxa" w:w="1656"/>
            <w:shd w:fill="F2F4F7"/>
            <w:tcMar>
              <w:top w:w="70" w:type="dxa"/>
              <w:bottom w:w="70" w:type="dxa"/>
              <w:left w:w="100" w:type="dxa"/>
              <w:right w:w="100" w:type="dxa"/>
            </w:tcMar>
            <w:vAlign w:val="center"/>
          </w:tcPr>
          <w:p>
            <w:pPr>
              <w:spacing w:before="0" w:after="0"/>
              <w:jc w:val="center"/>
            </w:pPr>
            <w:r>
              <w:rPr>
                <w:rFonts w:ascii="Times New Roman" w:hAnsi="Times New Roman"/>
                <w:b/>
                <w:sz w:val="22"/>
              </w:rPr>
              <w:t>Table No.</w:t>
            </w:r>
          </w:p>
        </w:tc>
        <w:tc>
          <w:tcPr>
            <w:tcW w:type="dxa" w:w="6221"/>
            <w:shd w:fill="F2F4F7"/>
            <w:tcMar>
              <w:top w:w="70" w:type="dxa"/>
              <w:bottom w:w="70" w:type="dxa"/>
              <w:left w:w="100" w:type="dxa"/>
              <w:right w:w="100" w:type="dxa"/>
            </w:tcMar>
            <w:vAlign w:val="center"/>
          </w:tcPr>
          <w:p>
            <w:pPr>
              <w:spacing w:before="0" w:after="0"/>
              <w:jc w:val="left"/>
            </w:pPr>
            <w:r>
              <w:rPr>
                <w:rFonts w:ascii="Times New Roman" w:hAnsi="Times New Roman"/>
                <w:b/>
                <w:sz w:val="22"/>
              </w:rPr>
              <w:t>Title</w:t>
            </w:r>
          </w:p>
        </w:tc>
        <w:tc>
          <w:tcPr>
            <w:tcW w:type="dxa" w:w="1152"/>
            <w:shd w:fill="F2F4F7"/>
            <w:tcMar>
              <w:top w:w="70" w:type="dxa"/>
              <w:bottom w:w="70" w:type="dxa"/>
              <w:left w:w="100" w:type="dxa"/>
              <w:right w:w="100" w:type="dxa"/>
            </w:tcMar>
            <w:vAlign w:val="center"/>
          </w:tcPr>
          <w:p>
            <w:pPr>
              <w:spacing w:before="0" w:after="0"/>
              <w:jc w:val="center"/>
            </w:pPr>
            <w:r>
              <w:rPr>
                <w:rFonts w:ascii="Times New Roman" w:hAnsi="Times New Roman"/>
                <w:b/>
                <w:sz w:val="22"/>
              </w:rPr>
              <w:t>Page No.</w:t>
            </w:r>
          </w:p>
        </w:tc>
      </w:tr>
      <w:tr>
        <w:trPr>
          <w:cantSplit/>
        </w:trPr>
        <w:tc>
          <w:tcPr>
            <w:tcW w:type="dxa" w:w="1656"/>
            <w:tcMar>
              <w:top w:w="55" w:type="dxa"/>
              <w:bottom w:w="55" w:type="dxa"/>
              <w:left w:w="90" w:type="dxa"/>
              <w:right w:w="90" w:type="dxa"/>
            </w:tcMar>
            <w:vAlign w:val="center"/>
          </w:tcPr>
          <w:p>
            <w:pPr>
              <w:spacing w:before="0" w:after="0" w:line="276" w:lineRule="auto"/>
              <w:jc w:val="center"/>
            </w:pPr>
            <w:r>
              <w:rPr>
                <w:rFonts w:ascii="Times New Roman" w:hAnsi="Times New Roman"/>
                <w:sz w:val="21"/>
              </w:rPr>
              <w:t>2.1</w:t>
            </w:r>
          </w:p>
        </w:tc>
        <w:tc>
          <w:tcPr>
            <w:tcW w:type="dxa" w:w="6221"/>
            <w:tcMar>
              <w:top w:w="55" w:type="dxa"/>
              <w:bottom w:w="55" w:type="dxa"/>
              <w:left w:w="90" w:type="dxa"/>
              <w:right w:w="90" w:type="dxa"/>
            </w:tcMar>
            <w:vAlign w:val="center"/>
          </w:tcPr>
          <w:p>
            <w:pPr>
              <w:spacing w:before="0" w:after="0" w:line="276" w:lineRule="auto"/>
              <w:jc w:val="left"/>
            </w:pPr>
            <w:r>
              <w:rPr>
                <w:rFonts w:ascii="Times New Roman" w:hAnsi="Times New Roman"/>
                <w:sz w:val="21"/>
              </w:rPr>
              <w:t>Comparative Feature Analysis of Autonomous Software Engineering Platforms</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12</w:t>
            </w:r>
          </w:p>
        </w:tc>
      </w:tr>
      <w:tr>
        <w:trPr>
          <w:cantSplit/>
        </w:trPr>
        <w:tc>
          <w:tcPr>
            <w:tcW w:type="dxa" w:w="1656"/>
            <w:tcMar>
              <w:top w:w="55" w:type="dxa"/>
              <w:bottom w:w="55" w:type="dxa"/>
              <w:left w:w="90" w:type="dxa"/>
              <w:right w:w="90" w:type="dxa"/>
            </w:tcMar>
            <w:vAlign w:val="center"/>
          </w:tcPr>
          <w:p>
            <w:pPr>
              <w:spacing w:before="0" w:after="0" w:line="276" w:lineRule="auto"/>
              <w:jc w:val="center"/>
            </w:pPr>
            <w:r>
              <w:rPr>
                <w:rFonts w:ascii="Times New Roman" w:hAnsi="Times New Roman"/>
                <w:sz w:val="21"/>
              </w:rPr>
              <w:t>4.1</w:t>
            </w:r>
          </w:p>
        </w:tc>
        <w:tc>
          <w:tcPr>
            <w:tcW w:type="dxa" w:w="6221"/>
            <w:tcMar>
              <w:top w:w="55" w:type="dxa"/>
              <w:bottom w:w="55" w:type="dxa"/>
              <w:left w:w="90" w:type="dxa"/>
              <w:right w:w="90" w:type="dxa"/>
            </w:tcMar>
            <w:vAlign w:val="center"/>
          </w:tcPr>
          <w:p>
            <w:pPr>
              <w:spacing w:before="0" w:after="0" w:line="276" w:lineRule="auto"/>
              <w:jc w:val="left"/>
            </w:pPr>
            <w:r>
              <w:rPr>
                <w:rFonts w:ascii="Times New Roman" w:hAnsi="Times New Roman"/>
                <w:sz w:val="21"/>
              </w:rPr>
              <w:t>Formal Mutex Acquisition and Monotonic Epoch Fencing Protocols</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22</w:t>
            </w:r>
          </w:p>
        </w:tc>
      </w:tr>
      <w:tr>
        <w:trPr>
          <w:cantSplit/>
        </w:trPr>
        <w:tc>
          <w:tcPr>
            <w:tcW w:type="dxa" w:w="1656"/>
            <w:tcMar>
              <w:top w:w="55" w:type="dxa"/>
              <w:bottom w:w="55" w:type="dxa"/>
              <w:left w:w="90" w:type="dxa"/>
              <w:right w:w="90" w:type="dxa"/>
            </w:tcMar>
            <w:vAlign w:val="center"/>
          </w:tcPr>
          <w:p>
            <w:pPr>
              <w:spacing w:before="0" w:after="0" w:line="276" w:lineRule="auto"/>
              <w:jc w:val="center"/>
            </w:pPr>
            <w:r>
              <w:rPr>
                <w:rFonts w:ascii="Times New Roman" w:hAnsi="Times New Roman"/>
                <w:sz w:val="21"/>
              </w:rPr>
              <w:t>4.2</w:t>
            </w:r>
          </w:p>
        </w:tc>
        <w:tc>
          <w:tcPr>
            <w:tcW w:type="dxa" w:w="6221"/>
            <w:tcMar>
              <w:top w:w="55" w:type="dxa"/>
              <w:bottom w:w="55" w:type="dxa"/>
              <w:left w:w="90" w:type="dxa"/>
              <w:right w:w="90" w:type="dxa"/>
            </w:tcMar>
            <w:vAlign w:val="center"/>
          </w:tcPr>
          <w:p>
            <w:pPr>
              <w:spacing w:before="0" w:after="0" w:line="276" w:lineRule="auto"/>
              <w:jc w:val="left"/>
            </w:pPr>
            <w:r>
              <w:rPr>
                <w:rFonts w:ascii="Times New Roman" w:hAnsi="Times New Roman"/>
                <w:sz w:val="21"/>
              </w:rPr>
              <w:t>Chi-Square (χ²) Goodness-of-Fit Distribution Across API Provider Pools</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25</w:t>
            </w:r>
          </w:p>
        </w:tc>
      </w:tr>
      <w:tr>
        <w:trPr>
          <w:cantSplit/>
        </w:trPr>
        <w:tc>
          <w:tcPr>
            <w:tcW w:type="dxa" w:w="1656"/>
            <w:tcMar>
              <w:top w:w="55" w:type="dxa"/>
              <w:bottom w:w="55" w:type="dxa"/>
              <w:left w:w="90" w:type="dxa"/>
              <w:right w:w="90" w:type="dxa"/>
            </w:tcMar>
            <w:vAlign w:val="center"/>
          </w:tcPr>
          <w:p>
            <w:pPr>
              <w:spacing w:before="0" w:after="0" w:line="276" w:lineRule="auto"/>
              <w:jc w:val="center"/>
            </w:pPr>
            <w:r>
              <w:rPr>
                <w:rFonts w:ascii="Times New Roman" w:hAnsi="Times New Roman"/>
                <w:sz w:val="21"/>
              </w:rPr>
              <w:t>4.3</w:t>
            </w:r>
          </w:p>
        </w:tc>
        <w:tc>
          <w:tcPr>
            <w:tcW w:type="dxa" w:w="6221"/>
            <w:tcMar>
              <w:top w:w="55" w:type="dxa"/>
              <w:bottom w:w="55" w:type="dxa"/>
              <w:left w:w="90" w:type="dxa"/>
              <w:right w:w="90" w:type="dxa"/>
            </w:tcMar>
            <w:vAlign w:val="center"/>
          </w:tcPr>
          <w:p>
            <w:pPr>
              <w:spacing w:before="0" w:after="0" w:line="276" w:lineRule="auto"/>
              <w:jc w:val="left"/>
            </w:pPr>
            <w:r>
              <w:rPr>
                <w:rFonts w:ascii="Times New Roman" w:hAnsi="Times New Roman"/>
                <w:sz w:val="21"/>
              </w:rPr>
              <w:t>Technology Stack Selection Justification and Architectural Trade-off Matrix</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30</w:t>
            </w:r>
          </w:p>
        </w:tc>
      </w:tr>
      <w:tr>
        <w:trPr>
          <w:cantSplit/>
        </w:trPr>
        <w:tc>
          <w:tcPr>
            <w:tcW w:type="dxa" w:w="1656"/>
            <w:tcMar>
              <w:top w:w="55" w:type="dxa"/>
              <w:bottom w:w="55" w:type="dxa"/>
              <w:left w:w="90" w:type="dxa"/>
              <w:right w:w="90" w:type="dxa"/>
            </w:tcMar>
            <w:vAlign w:val="center"/>
          </w:tcPr>
          <w:p>
            <w:pPr>
              <w:spacing w:before="0" w:after="0" w:line="276" w:lineRule="auto"/>
              <w:jc w:val="center"/>
            </w:pPr>
            <w:r>
              <w:rPr>
                <w:rFonts w:ascii="Times New Roman" w:hAnsi="Times New Roman"/>
                <w:sz w:val="21"/>
              </w:rPr>
              <w:t>5.1</w:t>
            </w:r>
          </w:p>
        </w:tc>
        <w:tc>
          <w:tcPr>
            <w:tcW w:type="dxa" w:w="6221"/>
            <w:tcMar>
              <w:top w:w="55" w:type="dxa"/>
              <w:bottom w:w="55" w:type="dxa"/>
              <w:left w:w="90" w:type="dxa"/>
              <w:right w:w="90" w:type="dxa"/>
            </w:tcMar>
            <w:vAlign w:val="center"/>
          </w:tcPr>
          <w:p>
            <w:pPr>
              <w:spacing w:before="0" w:after="0" w:line="276" w:lineRule="auto"/>
              <w:jc w:val="left"/>
            </w:pPr>
            <w:r>
              <w:rPr>
                <w:rFonts w:ascii="Times New Roman" w:hAnsi="Times New Roman"/>
                <w:sz w:val="21"/>
              </w:rPr>
              <w:t>Multi-Provider API Key Health, Degradation Penalties, and Cooldown Matrix</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48</w:t>
            </w:r>
          </w:p>
        </w:tc>
      </w:tr>
      <w:tr>
        <w:trPr>
          <w:cantSplit/>
        </w:trPr>
        <w:tc>
          <w:tcPr>
            <w:tcW w:type="dxa" w:w="1656"/>
            <w:tcMar>
              <w:top w:w="55" w:type="dxa"/>
              <w:bottom w:w="55" w:type="dxa"/>
              <w:left w:w="90" w:type="dxa"/>
              <w:right w:w="90" w:type="dxa"/>
            </w:tcMar>
            <w:vAlign w:val="center"/>
          </w:tcPr>
          <w:p>
            <w:pPr>
              <w:spacing w:before="0" w:after="0" w:line="276" w:lineRule="auto"/>
              <w:jc w:val="center"/>
            </w:pPr>
            <w:r>
              <w:rPr>
                <w:rFonts w:ascii="Times New Roman" w:hAnsi="Times New Roman"/>
                <w:sz w:val="21"/>
              </w:rPr>
              <w:t>5.2</w:t>
            </w:r>
          </w:p>
        </w:tc>
        <w:tc>
          <w:tcPr>
            <w:tcW w:type="dxa" w:w="6221"/>
            <w:tcMar>
              <w:top w:w="55" w:type="dxa"/>
              <w:bottom w:w="55" w:type="dxa"/>
              <w:left w:w="90" w:type="dxa"/>
              <w:right w:w="90" w:type="dxa"/>
            </w:tcMar>
            <w:vAlign w:val="center"/>
          </w:tcPr>
          <w:p>
            <w:pPr>
              <w:spacing w:before="0" w:after="0" w:line="276" w:lineRule="auto"/>
              <w:jc w:val="left"/>
            </w:pPr>
            <w:r>
              <w:rPr>
                <w:rFonts w:ascii="Times New Roman" w:hAnsi="Times New Roman"/>
                <w:sz w:val="21"/>
              </w:rPr>
              <w:t>Empirical Benchmark of Single-Pass SDLC vs. Component DAG Parallel Pipeline</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49</w:t>
            </w:r>
          </w:p>
        </w:tc>
      </w:tr>
      <w:tr>
        <w:trPr>
          <w:cantSplit/>
        </w:trPr>
        <w:tc>
          <w:tcPr>
            <w:tcW w:type="dxa" w:w="1656"/>
            <w:tcMar>
              <w:top w:w="55" w:type="dxa"/>
              <w:bottom w:w="55" w:type="dxa"/>
              <w:left w:w="90" w:type="dxa"/>
              <w:right w:w="90" w:type="dxa"/>
            </w:tcMar>
            <w:vAlign w:val="center"/>
          </w:tcPr>
          <w:p>
            <w:pPr>
              <w:spacing w:before="0" w:after="0" w:line="276" w:lineRule="auto"/>
              <w:jc w:val="center"/>
            </w:pPr>
            <w:r>
              <w:rPr>
                <w:rFonts w:ascii="Times New Roman" w:hAnsi="Times New Roman"/>
                <w:sz w:val="21"/>
              </w:rPr>
              <w:t>5.3</w:t>
            </w:r>
          </w:p>
        </w:tc>
        <w:tc>
          <w:tcPr>
            <w:tcW w:type="dxa" w:w="6221"/>
            <w:tcMar>
              <w:top w:w="55" w:type="dxa"/>
              <w:bottom w:w="55" w:type="dxa"/>
              <w:left w:w="90" w:type="dxa"/>
              <w:right w:w="90" w:type="dxa"/>
            </w:tcMar>
            <w:vAlign w:val="center"/>
          </w:tcPr>
          <w:p>
            <w:pPr>
              <w:spacing w:before="0" w:after="0" w:line="276" w:lineRule="auto"/>
              <w:jc w:val="left"/>
            </w:pPr>
            <w:r>
              <w:rPr>
                <w:rFonts w:ascii="Times New Roman" w:hAnsi="Times New Roman"/>
                <w:sz w:val="21"/>
              </w:rPr>
              <w:t>Closed-Loop Self-Healing Success Rate across Multi-Critic Repair Iterations</w:t>
            </w:r>
          </w:p>
        </w:tc>
        <w:tc>
          <w:tcPr>
            <w:tcW w:type="dxa" w:w="1152"/>
            <w:tcMar>
              <w:top w:w="55" w:type="dxa"/>
              <w:bottom w:w="55" w:type="dxa"/>
              <w:left w:w="90" w:type="dxa"/>
              <w:right w:w="90" w:type="dxa"/>
            </w:tcMar>
            <w:vAlign w:val="center"/>
          </w:tcPr>
          <w:p>
            <w:pPr>
              <w:spacing w:before="0" w:after="0" w:line="276" w:lineRule="auto"/>
              <w:jc w:val="center"/>
            </w:pPr>
            <w:r>
              <w:rPr>
                <w:rFonts w:ascii="Times New Roman" w:hAnsi="Times New Roman"/>
                <w:sz w:val="21"/>
              </w:rPr>
              <w:t>50</w:t>
            </w:r>
          </w:p>
        </w:tc>
      </w:tr>
    </w:tbl>
    <w:p>
      <w:pPr>
        <w:sectPr>
          <w:footerReference w:type="default" r:id="rId9"/>
          <w:pgSz w:w="11909" w:h="16834"/>
          <w:pgMar w:top="1440" w:right="1440" w:bottom="1440" w:left="1440" w:header="720" w:footer="720" w:gutter="0"/>
          <w:cols w:space="720"/>
          <w:docGrid w:linePitch="360"/>
          <w:pgNumType w:fmt="lowerRoman" w:start="1"/>
        </w:sectPr>
      </w:pPr>
    </w:p>
    <w:p>
      <w:pPr>
        <w:spacing w:before="320" w:after="80"/>
        <w:jc w:val="center"/>
      </w:pPr>
      <w:r>
        <w:rPr>
          <w:rFonts w:ascii="Times New Roman" w:hAnsi="Times New Roman"/>
          <w:b/>
          <w:sz w:val="32"/>
        </w:rPr>
        <w:t>CHAPTER 1</w:t>
      </w:r>
    </w:p>
    <w:p>
      <w:pPr>
        <w:spacing w:before="80" w:after="480"/>
        <w:jc w:val="center"/>
      </w:pPr>
      <w:r>
        <w:rPr>
          <w:rFonts w:ascii="Times New Roman" w:hAnsi="Times New Roman"/>
          <w:b/>
          <w:sz w:val="32"/>
        </w:rPr>
        <w:t>INTRODUCTION</w:t>
      </w:r>
    </w:p>
    <w:p>
      <w:pPr>
        <w:keepNext/>
        <w:spacing w:before="360" w:after="120"/>
      </w:pPr>
      <w:r>
        <w:rPr>
          <w:rFonts w:ascii="Times New Roman" w:hAnsi="Times New Roman"/>
          <w:b/>
          <w:sz w:val="28"/>
        </w:rPr>
        <w:t>1.1 Introduction</w:t>
      </w:r>
    </w:p>
    <w:p>
      <w:pPr>
        <w:spacing w:line="360" w:lineRule="auto" w:after="120"/>
        <w:jc w:val="both"/>
      </w:pPr>
      <w:r>
        <w:rPr>
          <w:rFonts w:ascii="Times New Roman" w:hAnsi="Times New Roman"/>
          <w:sz w:val="24"/>
        </w:rPr>
        <w:t>In the rapidly transforming landscape of modern computational engineering, the translation of human cognitive intent into reliable, production-ready software systems represents one of the most critical challenges in computer science. For decades, the software development lifecycle (SDLC) has relied entirely on human software engineers to bridge the vast semantic chasm between abstract functional requirements and concrete, executable machine syntax. Developers have traditionally spent substantial cognitive bandwidth navigating heterogeneous programming paradigms, configuring build toolchains, resolving complex package manifests, orchestrating database schemas, and writing defensive unit tests. While the introduction of modern Integrated Development Environments (IDEs), static analysis tools, and syntax linters has streamlined the mechanical mechanics of text entry, the core architectural synthesis, logic verification, and iterative debugging tasks have remained stubbornly manual, labor-intensive, and prone to human error.</w:t>
      </w:r>
    </w:p>
    <w:p>
      <w:pPr>
        <w:spacing w:line="360" w:lineRule="auto" w:after="120"/>
        <w:jc w:val="both"/>
      </w:pPr>
      <w:r>
        <w:rPr>
          <w:rFonts w:ascii="Times New Roman" w:hAnsi="Times New Roman"/>
          <w:sz w:val="24"/>
        </w:rPr>
        <w:t>The recent advent of foundational Large Language Models (LLMs) trained on planetary-scale corpora of source code has catalyzed a fundamental paradigm shift across human-computer interaction and software engineering. These generative neural architectures possess remarkable capabilities in natural language comprehension, structural pattern recognition, and code snippet generation. However, in contemporary software engineering practice, commercial code assistants operate primarily in an open-loop, single-turn conversational mode. In this conventional paradigm, the model emits syntactically plausible code snippets in isolation, entirely devoid of empirical runtime grounding, environmental awareness, or compilation-level feedback. When confronted with non-trivial, multi-file software architectures, standard conversational AI workflows suffer catastrophic failures characterized by context dilution, stochastic hallucination of non-existent APIs, and an inability to diagnose or remediate their own runtime exceptions. This profound divide between superficial syntactic fluency and robust, deterministic execution establishes what is formally identified in this research as the "Generative Translation and Verification Bottleneck."</w:t>
      </w:r>
    </w:p>
    <w:p>
      <w:pPr>
        <w:spacing w:line="360" w:lineRule="auto" w:after="120"/>
        <w:jc w:val="both"/>
      </w:pPr>
      <w:r>
        <w:rPr>
          <w:rFonts w:ascii="Times New Roman" w:hAnsi="Times New Roman"/>
          <w:sz w:val="24"/>
        </w:rPr>
        <w:t>To systematically address and eliminate this bottleneck, this capstone project introduces AutoDev: an autonomous, full-stack multi-agent software engineering platform engineered to transform natural language specifications into verified, functional, and production-grade software repositories without requiring human intervention in the synthesis loop. Rather than treating code generation as an isolated text-completion task, AutoDev establishes a disciplined, collaborative multi-agent architecture where specialized autonomous agents model professional software engineering disciplines. By decoupling complex engineering responsibilities—such as architectural blueprinting, topological dependency scheduling, concurrent code synthesis, runtime sandboxed verification, and multi-critic arbitration—the platform bridges the chasm between probabilistic generative AI and deterministic software repository delivery.</w:t>
      </w:r>
    </w:p>
    <w:p>
      <w:pPr>
        <w:spacing w:line="360" w:lineRule="auto" w:after="120"/>
        <w:jc w:val="both"/>
      </w:pPr>
      <w:r>
        <w:rPr>
          <w:rFonts w:ascii="Times New Roman" w:hAnsi="Times New Roman"/>
          <w:sz w:val="24"/>
        </w:rPr>
        <w:t>Under the hood, AutoDev introduces a series of mathematical, architectural, and systems-level innovations designed to guarantee fault tolerance, high throughput, and deterministic code correctness. The platform operates across a dual operational paradigm: a high-velocity Single-Pass Autonomous SDLC engine for self-contained, cohesive modules, and a Component-Wise Parallel Pipeline DAG Engine for enterprise multi-tier systems. To conquer the complexities of inter-module dependencies, the Master Architect models software components as a Directed Acyclic Graph (DAG) scheduled concurrently using Kahn’s topological sort and Tarjan’s Strongly Connected Components (SCC) cycle resolution algorithm. Concurrency safety is mathematically enforced through lease-backed stage mutexes, monotonic epoch fencing tokens, and atomic two-phase handovers that formally eliminate Coffman’s four deadlock conditions. Furthermore, the system couples rootless Docker containerization with an automated multi-critic peer-review network (AST validation, linting, semantic logic testing, and security auditing) to capture live runtime diagnostics and execute closed-loop self-healing repair cycles. Delivered through an asynchronous, hardware-accelerated translucent web console featuring an embedded Monaco IDE, real-time Server-Sent Events (SSE) telemetry, live container previews, and one-click GitHub synchronization, AutoDev elevates generative software engineering from conversational novelty to an autonomous, industrial-grade software engineering reality.</w:t>
      </w:r>
    </w:p>
    <w:p>
      <w:pPr>
        <w:keepNext/>
        <w:spacing w:before="360" w:after="120"/>
      </w:pPr>
      <w:r>
        <w:rPr>
          <w:rFonts w:ascii="Times New Roman" w:hAnsi="Times New Roman"/>
          <w:b/>
          <w:sz w:val="28"/>
        </w:rPr>
        <w:t>1.2 Research Background and Motivation</w:t>
      </w:r>
    </w:p>
    <w:p>
      <w:pPr>
        <w:spacing w:line="360" w:lineRule="auto" w:after="120"/>
        <w:jc w:val="both"/>
      </w:pPr>
      <w:r>
        <w:rPr>
          <w:rFonts w:ascii="Times New Roman" w:hAnsi="Times New Roman"/>
          <w:sz w:val="24"/>
        </w:rPr>
        <w:t>The rapid integration of generative artificial intelligence into the software engineering domain has exposed severe structural shortcomings in contemporary AI-assisted programming methodologies. A rigorous examination of the state-of-the-art reveals five fundamental challenges that motivate the architectural foundation and specialized design of the AutoDev platform:</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The Single-Prompt Fallacy and Context Window Saturation: </w:t>
      </w:r>
      <w:r>
        <w:rPr>
          <w:rFonts w:ascii="Times New Roman" w:hAnsi="Times New Roman"/>
          <w:sz w:val="24"/>
        </w:rPr>
        <w:t>Conventional generative AI interfaces suffer from the naive expectation that an entire multi-tier, multi-file software application can be generated coherently within a single prompt-response cycle. As system complexity scales, attempting to emit client-side interfaces, server-side logic, database migrations, and configurations within a single context window triggers severe context saturation. Consequently, models suffer attention degradation, resulting in truncated code blocks, omitted boilerplate, unresolved imports, and conflicting type signatures.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The Empirical Grounding and Runtime Verification Deficit: </w:t>
      </w:r>
      <w:r>
        <w:rPr>
          <w:rFonts w:ascii="Times New Roman" w:hAnsi="Times New Roman"/>
          <w:sz w:val="24"/>
        </w:rPr>
        <w:t>Code generated in a purely statistical vacuum lacks empirical validity. An LLM may generate code that appears structurally convincing yet fails catastrophically upon execution due to unhandled exceptions, package version conflicts, or incorrect environmental configurations. Existing conversational tools cannot execute code, inspect runtime stderr streams, or observe exit codes.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Upstream API Rate Limiting and Quota Fragility: </w:t>
      </w:r>
      <w:r>
        <w:rPr>
          <w:rFonts w:ascii="Times New Roman" w:hAnsi="Times New Roman"/>
          <w:sz w:val="24"/>
        </w:rPr>
        <w:t>Industrial-scale software generation requires hundreds of thousands of tokens transmitted in rapid succession across multiple agents. Commercial LLM inference providers enforce stringent RPM and TPM thresholds. Under heavy execution, naive frameworks collapse due to HTTP 429 errors and outages, establishing a critical need for an intelligent multi-pool API load balancer.</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Concurrency Hazards and Deadlock Conditions in Multi-Agent Pipelines: </w:t>
      </w:r>
      <w:r>
        <w:rPr>
          <w:rFonts w:ascii="Times New Roman" w:hAnsi="Times New Roman"/>
          <w:sz w:val="24"/>
        </w:rPr>
        <w:t>When multiple autonomous agents operate concurrently on interdependent software components, naive parallel execution introduces severe race conditions, stale state overwrites, and pipeline deadlocks. Without a rigorous mathematical concurrency control protocol, parallel agent pipelines cannot guarantee deterministic termination.</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The Developer Experience Void and Opaque Telemetry: </w:t>
      </w:r>
      <w:r>
        <w:rPr>
          <w:rFonts w:ascii="Times New Roman" w:hAnsi="Times New Roman"/>
          <w:sz w:val="24"/>
        </w:rPr>
        <w:t>Autonomous agent research frameworks operate predominantly via command-line interfaces or raw terminal logs. Engineers are left blind regarding internal agent reasoning states, topological dependency graphs, real-time token expenditures, and container compilation status. There exists a distinct necessity for a high-performance translucent web presentation layer with real-time telemetry.</w:t>
      </w:r>
    </w:p>
    <w:p>
      <w:pPr>
        <w:keepNext/>
        <w:spacing w:before="360" w:after="120"/>
      </w:pPr>
      <w:r>
        <w:rPr>
          <w:rFonts w:ascii="Times New Roman" w:hAnsi="Times New Roman"/>
          <w:b/>
          <w:sz w:val="28"/>
        </w:rPr>
        <w:t>1.3 Overview of the System</w:t>
      </w:r>
    </w:p>
    <w:p>
      <w:pPr>
        <w:spacing w:line="360" w:lineRule="auto" w:after="120"/>
        <w:jc w:val="both"/>
      </w:pPr>
      <w:r>
        <w:rPr>
          <w:rFonts w:ascii="Times New Roman" w:hAnsi="Times New Roman"/>
          <w:sz w:val="24"/>
        </w:rPr>
        <w:t>To overcome the identified limitations and establish an autonomous software synthesis ecosystem, AutoDev is engineered as a decoupled, multi-tiered platform harmonizing agentic orchestration, graph-based scheduling, isolated container sandboxing, and modern web telemetry. The overall execution lifecycle follows an end-to-end progression across ten formal architectural stages: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Stage 1 — Requirements Ingestion &amp; Interactive Scoping: </w:t>
      </w:r>
      <w:r>
        <w:rPr>
          <w:rFonts w:ascii="Times New Roman" w:hAnsi="Times New Roman"/>
          <w:sz w:val="24"/>
        </w:rPr>
        <w:t>The user initiates the synthesis lifecycle via natural language requirements. An Intent Classifier analyzes prompt ambiguity, formulating targeted clarifying questions to establish project scope.</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Stage 2 — Architectural Blueprinting &amp; Specification: </w:t>
      </w:r>
      <w:r>
        <w:rPr>
          <w:rFonts w:ascii="Times New Roman" w:hAnsi="Times New Roman"/>
          <w:sz w:val="24"/>
        </w:rPr>
        <w:t>The Master Architect decomposes clarified requirements into formal specifications: system architecture, communication protocols (REST, WebSockets), database schemas, and component partitions.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Stage 3 — Component Dependency DAG Scheduling: </w:t>
      </w:r>
      <w:r>
        <w:rPr>
          <w:rFonts w:ascii="Times New Roman" w:hAnsi="Times New Roman"/>
          <w:sz w:val="24"/>
        </w:rPr>
        <w:t>The Component DAG Scheduler constructs an acyclic dependency graph. Kahn’s algorithm identifies zero-in-degree components for concurrent execution, while Tarjan’s SCC algorithm detects and resolves circular dependencies.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Stage 4 &amp; 5 — Parallel Code Generation &amp; Multi-File Synthesis: </w:t>
      </w:r>
      <w:r>
        <w:rPr>
          <w:rFonts w:ascii="Times New Roman" w:hAnsi="Times New Roman"/>
          <w:sz w:val="24"/>
        </w:rPr>
        <w:t>Specialized CodeGen Agents synthesize source code across concurrent worker tracks, streaming files and tests via Server-Sent Events (SSE) directly to the embedded Monaco IDE.</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Stage 6 — Universal Docker Sandboxing &amp; Runtime Verification: </w:t>
      </w:r>
      <w:r>
        <w:rPr>
          <w:rFonts w:ascii="Times New Roman" w:hAnsi="Times New Roman"/>
          <w:sz w:val="24"/>
        </w:rPr>
        <w:t>The codebase is mounted into an ephemeral, rootless Docker container. The sandbox automates dependency installation and test suite execution, capturing stdout, stderr, and exit codes.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Stage 7 — Multi-Critic Peer-Review &amp; Closed-Loop Self-Healing: </w:t>
      </w:r>
      <w:r>
        <w:rPr>
          <w:rFonts w:ascii="Times New Roman" w:hAnsi="Times New Roman"/>
          <w:sz w:val="24"/>
        </w:rPr>
        <w:t>Specialized critics (AST Validator, Linter/Type Critic, Logic Critic, Security Auditor) evaluate static code and dynamic telemetry, feeding structured error payloads to self-healing repair agents.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Stage 8 — Repository Synthesis &amp; Live Container Application Preview: </w:t>
      </w:r>
      <w:r>
        <w:rPr>
          <w:rFonts w:ascii="Times New Roman" w:hAnsi="Times New Roman"/>
          <w:sz w:val="24"/>
        </w:rPr>
        <w:t>Upon critic consensus, modules are synthesized into a unified repository and launched within a live container preview environment accessible via an embedded web iframe.</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Stage 9 — Timeline Telemetry &amp; Endscreen Gantt Visualization: </w:t>
      </w:r>
      <w:r>
        <w:rPr>
          <w:rFonts w:ascii="Times New Roman" w:hAnsi="Times New Roman"/>
          <w:sz w:val="24"/>
        </w:rPr>
        <w:t>Comprehensive telemetry—stage durations, concurrency speedup, token expenditures, critic iterations—is aggregated and rendered on an interactive Gantt chart.</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Stage 10 — One-Click Atomic GitHub Repository Export: </w:t>
      </w:r>
      <w:r>
        <w:rPr>
          <w:rFonts w:ascii="Times New Roman" w:hAnsi="Times New Roman"/>
          <w:sz w:val="24"/>
        </w:rPr>
        <w:t>The finalized, verified repository is packaged with Git configuration, licensing, and documentation, and pushed directly to the user’s authenticated GitHub account.</w:t>
      </w:r>
    </w:p>
    <w:p>
      <w:pPr>
        <w:keepNext/>
        <w:spacing w:before="360" w:after="120"/>
      </w:pPr>
      <w:r>
        <w:rPr>
          <w:rFonts w:ascii="Times New Roman" w:hAnsi="Times New Roman"/>
          <w:b/>
          <w:sz w:val="28"/>
        </w:rPr>
        <w:t>1.4 Organization of Report</w:t>
      </w:r>
    </w:p>
    <w:p>
      <w:pPr>
        <w:spacing w:line="360" w:lineRule="auto" w:after="120"/>
        <w:jc w:val="both"/>
      </w:pPr>
      <w:r>
        <w:rPr>
          <w:rFonts w:ascii="Times New Roman" w:hAnsi="Times New Roman"/>
          <w:sz w:val="24"/>
        </w:rPr>
        <w:t>This capstone project report is systematically structured across six comprehensive chapters and a formal reference bibliography:</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Chapter 1: Introduction </w:t>
      </w:r>
      <w:r>
        <w:rPr>
          <w:rFonts w:ascii="Times New Roman" w:hAnsi="Times New Roman"/>
          <w:sz w:val="24"/>
        </w:rPr>
        <w:t>establishes the foundational context, explores the generative translation bottleneck, outlines motivating technical challenges, and details the ten-stage pipeline.</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Chapter 2: Literature Review </w:t>
      </w:r>
      <w:r>
        <w:rPr>
          <w:rFonts w:ascii="Times New Roman" w:hAnsi="Times New Roman"/>
          <w:sz w:val="24"/>
        </w:rPr>
        <w:t>surveys academic literature across multi-agent frameworks, DAG topological scheduling, distributed concurrency synchronization, container isolation, and presents a comparative feature analysis.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Chapter 3: Problem Identification and Objective </w:t>
      </w:r>
      <w:r>
        <w:rPr>
          <w:rFonts w:ascii="Times New Roman" w:hAnsi="Times New Roman"/>
          <w:sz w:val="24"/>
        </w:rPr>
        <w:t>articulates the precise problem statement regarding context degradation, hallucinations, and rate limiting, establishing primary and secondary technical objectives and scope.</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Chapter 4: Methodology </w:t>
      </w:r>
      <w:r>
        <w:rPr>
          <w:rFonts w:ascii="Times New Roman" w:hAnsi="Times New Roman"/>
          <w:sz w:val="24"/>
        </w:rPr>
        <w:t>presents mathematical formulations, algorithms, and architectural specifications of AutoDev: multi-agent topology, Kahn and Tarjan DAG scheduling, lease mutexes, χ² API key balancer, Docker sandboxing, and critic networks.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Chapter 5: Results and Discussion </w:t>
      </w:r>
      <w:r>
        <w:rPr>
          <w:rFonts w:ascii="Times New Roman" w:hAnsi="Times New Roman"/>
          <w:sz w:val="24"/>
        </w:rPr>
        <w:t>walks through system implementation across stages 1 to 10 with interface figures and telemetry, presenting empirical evaluations of compilation rates, DAG speedup, and deadlock freedom.</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Chapter 6: Conclusions and Future Scope of Work </w:t>
      </w:r>
      <w:r>
        <w:rPr>
          <w:rFonts w:ascii="Times New Roman" w:hAnsi="Times New Roman"/>
          <w:sz w:val="24"/>
        </w:rPr>
        <w:t>synthesizes primary technical contributions, discusses current architectural boundaries, and outlines strategic future research trajectories.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References </w:t>
      </w:r>
      <w:r>
        <w:rPr>
          <w:rFonts w:ascii="Times New Roman" w:hAnsi="Times New Roman"/>
          <w:sz w:val="24"/>
        </w:rPr>
        <w:t>provides a complete bibliography formatted according to standard IEEE citation conventions.</w:t>
      </w:r>
    </w:p>
    <w:p>
      <w:r>
        <w:br w:type="page"/>
      </w:r>
    </w:p>
    <w:p>
      <w:pPr>
        <w:spacing w:before="320" w:after="80"/>
        <w:jc w:val="center"/>
      </w:pPr>
      <w:r>
        <w:rPr>
          <w:rFonts w:ascii="Times New Roman" w:hAnsi="Times New Roman"/>
          <w:b/>
          <w:sz w:val="32"/>
        </w:rPr>
        <w:t>CHAPTER 2</w:t>
      </w:r>
    </w:p>
    <w:p>
      <w:pPr>
        <w:spacing w:before="80" w:after="480"/>
        <w:jc w:val="center"/>
      </w:pPr>
      <w:r>
        <w:rPr>
          <w:rFonts w:ascii="Times New Roman" w:hAnsi="Times New Roman"/>
          <w:b/>
          <w:sz w:val="32"/>
        </w:rPr>
        <w:t>LITERATURE REVIEW</w:t>
      </w:r>
    </w:p>
    <w:p>
      <w:pPr>
        <w:keepNext/>
        <w:spacing w:before="360" w:after="120"/>
      </w:pPr>
      <w:r>
        <w:rPr>
          <w:rFonts w:ascii="Times New Roman" w:hAnsi="Times New Roman"/>
          <w:b/>
          <w:sz w:val="28"/>
        </w:rPr>
        <w:t>2.1 Evolution of Autonomous Software Engineering &amp; Multi-Agent Frameworks</w:t>
      </w:r>
    </w:p>
    <w:p>
      <w:pPr>
        <w:spacing w:line="360" w:lineRule="auto" w:after="120"/>
        <w:jc w:val="both"/>
      </w:pPr>
      <w:r>
        <w:rPr>
          <w:rFonts w:ascii="Times New Roman" w:hAnsi="Times New Roman"/>
          <w:sz w:val="24"/>
        </w:rPr>
        <w:t>The quest to automate the creation of software systems represents an intellectual journey spanning more than five decades of computer science research. The paradigm of program synthesis has progressed through four distinct evolutionary epochs, each defined by fundamental shifts in computational representations, cognitive models, and verification mechanisms: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The Deductive and Rule-Based Era (1970s – 1990s): </w:t>
      </w:r>
      <w:r>
        <w:rPr>
          <w:rFonts w:ascii="Times New Roman" w:hAnsi="Times New Roman"/>
          <w:sz w:val="24"/>
        </w:rPr>
        <w:t>Early approaches relied on formal mathematical logic and deductive reasoning (Manna and Waldinger). Software generation was modeled as constructive theorem-proving: given formal input-output specifications in first-order predicate calculus, an automated prover extracted an algorithm. While providing absolute mathematical correctness guarantees, writing non-contradictory formal specifications was frequently more complex than authoring code manually, confining systems to toy domains.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The Statistical and Neural Code Completion Era (2010 – 2020): </w:t>
      </w:r>
      <w:r>
        <w:rPr>
          <w:rFonts w:ascii="Times New Roman" w:hAnsi="Times New Roman"/>
          <w:sz w:val="24"/>
        </w:rPr>
        <w:t>The availability of open-source repositories on GitHub catalyzed statistical language modeling for code. Early models (n-grams, probabilistic context-free grammars) treated code as syntactic sequences. Subsequent Recurrent Neural Networks and Graph Neural Networks (Code2Vec) enabled learned vector embeddings of AST nodes, aiding local identifier recommendation but remaining incapable of global architectural reasoning.</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The Foundational LLM Autocomplete Era (2021 – 2023): </w:t>
      </w:r>
      <w:r>
        <w:rPr>
          <w:rFonts w:ascii="Times New Roman" w:hAnsi="Times New Roman"/>
          <w:sz w:val="24"/>
        </w:rPr>
        <w:t>The scaling of Transformer-based autoregressive models (OpenAI Codex, GitHub Copilot, StarCoder, CodeLlama) enabled natural-language-to-code synthesis. Trained on vast corpora, models mastered complex syntax and idiomatic usage. However, in practice, they operated predominantly in an open-loop, single-turn autocomplete regime, lacking mechanisms to execute, verify, or integrate code into multi-tier repositories.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The Autonomous Multi-Agent Era (2023 – Present): </w:t>
      </w:r>
      <w:r>
        <w:rPr>
          <w:rFonts w:ascii="Times New Roman" w:hAnsi="Times New Roman"/>
          <w:sz w:val="24"/>
        </w:rPr>
        <w:t>Recent research pivoted toward autonomous multi-agent frameworks (AutoGPT, CAMEL, MetaGPT, ChatDev). By assigning distinct cognitive personas (Architect, Engineer, QA Reviewer) and orchestrating structured communication protocols, multi-agent frameworks mirror professional engineering team dynamics.</w:t>
      </w:r>
    </w:p>
    <w:p>
      <w:pPr>
        <w:spacing w:line="360" w:lineRule="auto" w:after="120"/>
        <w:jc w:val="both"/>
      </w:pPr>
      <w:r>
        <w:rPr>
          <w:rFonts w:ascii="Times New Roman" w:hAnsi="Times New Roman"/>
          <w:sz w:val="24"/>
        </w:rPr>
        <w:t>Despite their conceptual promise, early multi-agent frameworks exhibit critical structural vulnerabilities that preclude their deployment for industrial-scale software delivery. First, platforms like ChatDev rely on unconstrained natural-language chat loops that suffer from semantic drift, compounding hallucination, and repetitive circular dialogues over long horizons. Second, existing architectures enforce linear waterfall pipelines, failing to exploit the concurrency of decoupled software modules. Most critically, early systems simulate the software development lifecycle purely as a linguistic exercise: agents discuss code, but code is never compiled, linked, or executed in a real runtime environment. This absence of empirical grounding motivates AutoDev’s deterministic, graph-scheduled, and sandbox-grounded multi-agent architecture.</w:t>
      </w:r>
    </w:p>
    <w:p>
      <w:pPr>
        <w:keepNext/>
        <w:spacing w:before="360" w:after="120"/>
      </w:pPr>
      <w:r>
        <w:rPr>
          <w:rFonts w:ascii="Times New Roman" w:hAnsi="Times New Roman"/>
          <w:b/>
          <w:sz w:val="28"/>
        </w:rPr>
        <w:t>2.2 Directed Acyclic Graph (DAG) Scheduling &amp; Cycle Detection in Program Synthesis</w:t>
      </w:r>
    </w:p>
    <w:p>
      <w:pPr>
        <w:spacing w:line="360" w:lineRule="auto" w:after="120"/>
        <w:jc w:val="both"/>
      </w:pPr>
      <w:r>
        <w:rPr>
          <w:rFonts w:ascii="Times New Roman" w:hAnsi="Times New Roman"/>
          <w:sz w:val="24"/>
        </w:rPr>
        <w:t>In modern software architecture, non-trivial software systems are fundamentally non-linear. An enterprise application manifests as a hierarchical network of interdependent modules: database schemas, data access layers, asynchronous messaging brokers, RESTful API controllers, authentication middleware, and frontend user interfaces. In classical software engineering, this relational topology is formally modeled as a Directed Acyclic Graph (DAG) $G = (V, E)$, where each vertex $v ∈ V$ represents a software component and each directed edge $(u, v) ∈ E$ denotes a strict dependency relationship specifying that component $v$ requires component $u$ prior to execution.</w:t>
      </w:r>
    </w:p>
    <w:p>
      <w:pPr>
        <w:spacing w:line="360" w:lineRule="auto" w:after="120"/>
        <w:jc w:val="both"/>
      </w:pPr>
      <w:r>
        <w:rPr>
          <w:rFonts w:ascii="Times New Roman" w:hAnsi="Times New Roman"/>
          <w:sz w:val="24"/>
        </w:rPr>
        <w:t>In build automation systems (GNU Make, Google Bazel) and data pipeline orchestration engines (Apache Airflow, Celery), DAG scheduling is universally solved through topological sorting algorithms. The foundational algorithm for topological scheduling is Kahn’s Algorithm, which operates with linear computational complexity $\O(|V| + |E|)$. Kahn’s formulation iteratively identifies all vertices with an in-degree of zero, enqueues them for parallel execution across available worker threads, and upon their completion, decrements the in-degree of dependent downstream nodes. In autonomous software synthesis, applying Kahn’s algorithm allows AutoDev to maximize parallel throughput by concurrently generating independent architectural tracks while ensuring dependent services are synthesized only after required contracts are fully specified.</w:t>
      </w:r>
    </w:p>
    <w:p>
      <w:pPr>
        <w:spacing w:line="360" w:lineRule="auto" w:after="120"/>
        <w:jc w:val="both"/>
      </w:pPr>
      <w:r>
        <w:rPr>
          <w:rFonts w:ascii="Times New Roman" w:hAnsi="Times New Roman"/>
          <w:sz w:val="24"/>
        </w:rPr>
        <w:t>A critical failure mode unique to autonomous agentic synthesis is the inadvertent creation of cyclic dependencies during unsupervised architectural decomposition. Because LLMs operate probabilistically, the Master Architect agent may generate circular interface requirements (e.g., Component A requires Component B, which requires Component C, which requires Component A). In a standard topological scheduler, the presence of a directed cycle creates an immediate system deadlock. To resolve this vulnerability, AutoDev integrates Tarjan’s Strongly Connected Components (SCC) Algorithm. Operating in $\O(|V| + |E|)$ time using depth-first search traversals and integer low-link indices, Tarjan’s algorithm dynamically isolates circular loops and triggers automated cycle-breaking transformations—either by decoupling the cyclic contract through an asynchronous event bus or fusing tightly coupled components into an atomic synthesis track.</w:t>
      </w:r>
    </w:p>
    <w:p>
      <w:pPr>
        <w:keepNext/>
        <w:spacing w:before="360" w:after="120"/>
      </w:pPr>
      <w:r>
        <w:rPr>
          <w:rFonts w:ascii="Times New Roman" w:hAnsi="Times New Roman"/>
          <w:b/>
          <w:sz w:val="28"/>
        </w:rPr>
        <w:t>2.3 Distributed State Synchronization, Mutex Locking &amp; Monotonic Epoch Fencing</w:t>
      </w:r>
    </w:p>
    <w:p>
      <w:pPr>
        <w:spacing w:line="360" w:lineRule="auto" w:after="120"/>
        <w:jc w:val="both"/>
      </w:pPr>
      <w:r>
        <w:rPr>
          <w:rFonts w:ascii="Times New Roman" w:hAnsi="Times New Roman"/>
          <w:sz w:val="24"/>
        </w:rPr>
        <w:t>When multiple autonomous agents execute concurrently across parallel component tracks, the software repository becomes a shared, concurrently mutated distributed state. In the absence of rigorous synchronization primitives, parallel agent execution inevitably triggers severe concurrency anomalies well-documented in distributed systems literature:</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Race Conditions and Lost Updates: </w:t>
      </w:r>
      <w:r>
        <w:rPr>
          <w:rFonts w:ascii="Times New Roman" w:hAnsi="Times New Roman"/>
          <w:sz w:val="24"/>
        </w:rPr>
        <w:t>Multiple CodeGen agents synthesizing distinct modules may concurrently update shared configuration manifests (`package.json`, `.env`, `docker-compose.yml`), causing unsynchronized file overwrites and corrupting project dependency manifests.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Stale Writes and the "Zombie Agent" Problem: </w:t>
      </w:r>
      <w:r>
        <w:rPr>
          <w:rFonts w:ascii="Times New Roman" w:hAnsi="Times New Roman"/>
          <w:sz w:val="24"/>
        </w:rPr>
        <w:t>Varying LLM token generation times and network latency cause substantial variance in agent completion times. An agent dispatched during an earlier epoch may complete its task after a subsequent self-healing critic agent has already patched the module, overwriting the verified patch and inducing infinite debugging loops.</w:t>
      </w:r>
    </w:p>
    <w:p>
      <w:pPr>
        <w:spacing w:line="360" w:lineRule="auto" w:after="120"/>
        <w:jc w:val="both"/>
      </w:pPr>
      <w:r>
        <w:rPr>
          <w:rFonts w:ascii="Times New Roman" w:hAnsi="Times New Roman"/>
          <w:sz w:val="24"/>
        </w:rPr>
        <w:t>To establish provable concurrency safety, AutoDev draws upon the classical theory of synchronization and deadlock prevention established by Edward G. Coffman Jr. in 1971. Deadlock can occur if and only if four necessary and sufficient conditions hold simultaneously: (1) Mutual Exclusion, (2) Hold and Wait, (3) No Preemption, and (4) Circular Wait. AutoDev mathematically eliminates Coffman’s second and fourth conditions by enforcing an atomic, total-order two-phase locking protocol: agents declare and acquire all required file-stage mutexes simultaneously in lexicographical order, precluding circular wait chains or partial hold-and-wait deadlocks.</w:t>
      </w:r>
    </w:p>
    <w:p>
      <w:pPr>
        <w:spacing w:line="360" w:lineRule="auto" w:after="120"/>
        <w:jc w:val="both"/>
      </w:pPr>
      <w:r>
        <w:rPr>
          <w:rFonts w:ascii="Times New Roman" w:hAnsi="Times New Roman"/>
          <w:sz w:val="24"/>
        </w:rPr>
        <w:t>Furthermore, to definitively eliminate stale writes from zombie agents, AutoDev incorporates Martin Kleppmann’s distributed consensus paradigm of Monotonic Epoch Fencing Tokens. Under this protocol, every state mutation, stage transition, and lock acquisition is tagged with a monotonically increasing 64-bit integer epoch counter $\τ_epoch$. When an agent attempts to commit an artifact or release a mutex lease, the underlying repository persistence layer evaluates whether the agent’s token matches the current active epoch. If an intervening stage transition has incremented the global epoch counter ($\τ_agent &lt; \τ_current$), the write operation is atomically fenced, rejected, and logged as an obsolete transaction, preserving repository state integrity.</w:t>
      </w:r>
    </w:p>
    <w:p>
      <w:pPr>
        <w:keepNext/>
        <w:spacing w:before="360" w:after="120"/>
      </w:pPr>
      <w:r>
        <w:rPr>
          <w:rFonts w:ascii="Times New Roman" w:hAnsi="Times New Roman"/>
          <w:b/>
          <w:sz w:val="28"/>
        </w:rPr>
        <w:t>2.4 Sandboxed Container Execution &amp; Multi-Critic Automated Peer Review</w:t>
      </w:r>
    </w:p>
    <w:p>
      <w:pPr>
        <w:spacing w:line="360" w:lineRule="auto" w:after="120"/>
        <w:jc w:val="both"/>
      </w:pPr>
      <w:r>
        <w:rPr>
          <w:rFonts w:ascii="Times New Roman" w:hAnsi="Times New Roman"/>
          <w:sz w:val="24"/>
        </w:rPr>
        <w:t>A foundational tenet of modern software engineering is that syntactic generation is meaningless without empirical runtime verification. The academic literature on automated software testing and program repair emphasizes that code correctness can only be established through dynamic execution against deterministic assertions and environmental constraints. In autonomous coding, this necessitates an isolated, high-performance sandbox execution engine and an automated multi-critic peer-review arbitration network.</w:t>
      </w:r>
    </w:p>
    <w:p>
      <w:pPr>
        <w:spacing w:line="360" w:lineRule="auto" w:after="120"/>
        <w:jc w:val="both"/>
      </w:pPr>
      <w:r>
        <w:rPr>
          <w:rFonts w:ascii="Times New Roman" w:hAnsi="Times New Roman"/>
          <w:sz w:val="24"/>
        </w:rPr>
        <w:t>In evaluating execution environments for untrusted, LLM-generated code, systems research contrasts three primary virtualization paradigms: full hardware virtualization (KVM, QEMU), WebAssembly (Wasm) runtimes, and Linux containerization (Docker, runc). Hardware virtualization exhibits heavy boot latency (10–30 seconds), while WebAssembly lacks support for native package managers and multi-tier background services. Docker containerization, specifically utilizing rootless container runtimes with ephemeral bind mounts, provides the optimal balance. By leveraging Linux kernel namespaces (mount, pid, net, ipc) and control groups (cgroups), AutoDev instantiates ephemeral sandbox containers within 500 milliseconds, enforcing strict resource caps (2.0 CPU cores, 2048 MB RAM, 120-second timeout) while isolating the host filesystem.</w:t>
      </w:r>
    </w:p>
    <w:p>
      <w:pPr>
        <w:spacing w:line="360" w:lineRule="auto" w:after="120"/>
        <w:jc w:val="both"/>
      </w:pPr>
      <w:r>
        <w:rPr>
          <w:rFonts w:ascii="Times New Roman" w:hAnsi="Times New Roman"/>
          <w:sz w:val="24"/>
        </w:rPr>
        <w:t>Within this sandboxed execution environment, AutoDev implements an automated Multi-Critic Peer-Review network inspired by Michael Fagan’s formal software inspection methodology, distributing code inspection across four specialized critic agents: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AST (Abstract Syntax Tree) Validator: </w:t>
      </w:r>
      <w:r>
        <w:rPr>
          <w:rFonts w:ascii="Times New Roman" w:hAnsi="Times New Roman"/>
          <w:sz w:val="24"/>
        </w:rPr>
        <w:t>Performs static parsing using native language compilers (Python `ast`, Babel parser). Validates grammatical syntax, detects unclosed delimiter brackets, identifies illegal indentations, and catches unresolvable import identifiers prior to container execution.</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Linter &amp; Static Type Critic: </w:t>
      </w:r>
      <w:r>
        <w:rPr>
          <w:rFonts w:ascii="Times New Roman" w:hAnsi="Times New Roman"/>
          <w:sz w:val="24"/>
        </w:rPr>
        <w:t>Executes strict static type checkers (`mypy` for Python, `tsc` for TypeScript) and code quality linters (ESLint, Flake8). Verifies type signatures, prevents implicit `any` leaks, and flags dead code or uninitialized variables.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Semantic Logic &amp; Unit Test Critic: </w:t>
      </w:r>
      <w:r>
        <w:rPr>
          <w:rFonts w:ascii="Times New Roman" w:hAnsi="Times New Roman"/>
          <w:sz w:val="24"/>
        </w:rPr>
        <w:t>Executes synthesized test harnesses within the Docker sandbox (`pytest`, `jest`, `vitest`). Inspects exit codes, standard output (stdout), and standard error (stderr) streams to evaluate functional adherence.</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Security Vulnerability Auditor: </w:t>
      </w:r>
      <w:r>
        <w:rPr>
          <w:rFonts w:ascii="Times New Roman" w:hAnsi="Times New Roman"/>
          <w:sz w:val="24"/>
        </w:rPr>
        <w:t>Scans the generated codebase against the OWASP Top 10 vulnerabilities, identifying SQL injection risks, insecure cryptographic primitives, hardcoded API credentials, and known CVEs in third-party package dependencies.</w:t>
      </w:r>
    </w:p>
    <w:p>
      <w:pPr>
        <w:spacing w:line="360" w:lineRule="auto" w:after="120"/>
        <w:jc w:val="both"/>
      </w:pPr>
      <w:r>
        <w:rPr>
          <w:rFonts w:ascii="Times New Roman" w:hAnsi="Times New Roman"/>
          <w:sz w:val="24"/>
        </w:rPr>
        <w:t>The evaluations of these four critics are submitted to a centralized Consensus Arbiter. Drawing upon the principles of Closed-Loop Automated Program Repair (APR) and reflective prompt engineering (e.g., Reflexion by Shinn et al., 2023), the Arbiter synthesizes a structured error diagnostic payload. If defects are detected, this diagnostic trace is fed directly into a targeted self-healing patch agent, enabling AutoDev to autonomously iterate and repair its own code failures without human intervention.</w:t>
      </w:r>
    </w:p>
    <w:p>
      <w:pPr>
        <w:keepNext/>
        <w:spacing w:before="360" w:after="120"/>
      </w:pPr>
      <w:r>
        <w:rPr>
          <w:rFonts w:ascii="Times New Roman" w:hAnsi="Times New Roman"/>
          <w:b/>
          <w:sz w:val="28"/>
        </w:rPr>
        <w:t>2.5 Existing Systems &amp; Comparative Limitations</w:t>
      </w:r>
    </w:p>
    <w:p>
      <w:pPr>
        <w:spacing w:line="360" w:lineRule="auto" w:after="120"/>
        <w:jc w:val="both"/>
      </w:pPr>
      <w:r>
        <w:rPr>
          <w:rFonts w:ascii="Times New Roman" w:hAnsi="Times New Roman"/>
          <w:sz w:val="24"/>
        </w:rPr>
        <w:t>To rigorously position AutoDev within the contemporary technological landscape, it is essential to critically evaluate existing state-of-the-art autonomous software engineering platforms across four premier systems: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Devin (Cognition AI, 2024): </w:t>
      </w:r>
      <w:r>
        <w:rPr>
          <w:rFonts w:ascii="Times New Roman" w:hAnsi="Times New Roman"/>
          <w:sz w:val="24"/>
        </w:rPr>
        <w:t>Widely recognized as the first commercial autonomous AI software engineer, operating within a full virtual machine shell equipped with a browser, editor, and terminal. However, Devin represents a proprietary, closed-source cloud SaaS product with opaque pricing and closed model routing, preventing custom multi-pool API balancing or air-gapped on-premise enterprise deployment.</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SWE-agent (Princeton University / Yang et al., 2024): </w:t>
      </w:r>
      <w:r>
        <w:rPr>
          <w:rFonts w:ascii="Times New Roman" w:hAnsi="Times New Roman"/>
          <w:sz w:val="24"/>
        </w:rPr>
        <w:t>Engineered as an academic benchmark harness for the SWE-bench evaluation benchmark, introducing an Agent-Computer Interface (ACI) for repository browsing and command execution. While effective at localized bug-fixing in existing repositories, it is designed strictly for single-issue resolution, completely lacking full-stack architectural blueprinting and DAG scheduling.</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MetaGPT (DeepWisdom / Hong et al., 2023): </w:t>
      </w:r>
      <w:r>
        <w:rPr>
          <w:rFonts w:ascii="Times New Roman" w:hAnsi="Times New Roman"/>
          <w:sz w:val="24"/>
        </w:rPr>
        <w:t>A multi-agent framework that encodes human Standard Operating Procedures into agent personas. While proficient in generating architectural documents and PRDs, MetaGPT lacks an integrated sandboxed Docker execution engine. It generates code purely as text output without runtime verification, leaving unit test execution to the user, and operates on a linear pipeline model without DAG concurrency mutex locks.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AutoGPT (Toran Bruce Richards et al., 2023): </w:t>
      </w:r>
      <w:r>
        <w:rPr>
          <w:rFonts w:ascii="Times New Roman" w:hAnsi="Times New Roman"/>
          <w:sz w:val="24"/>
        </w:rPr>
        <w:t>An open-source general-purpose autonomous agent utilizing recursive goal decomposition and vector memory retrieval. While seminal in popularizing autonomous agents, AutoGPT suffers from acute task derailment, runaway recursive execution loops, lacks software engineering domain critics, and provides no formal concurrency control or smart API load balancing.</w:t>
      </w:r>
    </w:p>
    <w:p>
      <w:pPr>
        <w:keepNext/>
        <w:spacing w:before="280" w:after="120"/>
        <w:jc w:val="center"/>
      </w:pPr>
      <w:r>
        <w:rPr>
          <w:rFonts w:ascii="Times New Roman" w:hAnsi="Times New Roman"/>
          <w:b/>
          <w:sz w:val="22"/>
        </w:rPr>
        <w:t>Table 2.1: Comparative Feature Analysis of Autonomous Software Engineering Platforms</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1505"/>
        <w:gridCol w:w="1505"/>
        <w:gridCol w:w="1505"/>
        <w:gridCol w:w="1505"/>
        <w:gridCol w:w="1505"/>
        <w:gridCol w:w="1505"/>
      </w:tblGrid>
      <w:tr>
        <w:trPr>
          <w:cantSplit/>
          <w:tblHeader/>
        </w:trPr>
        <w:tc>
          <w:tcPr>
            <w:tcW w:type="dxa" w:w="2261"/>
            <w:shd w:fill="F2F4F7"/>
            <w:tcMar>
              <w:top w:w="60" w:type="dxa"/>
              <w:bottom w:w="60" w:type="dxa"/>
              <w:left w:w="60" w:type="dxa"/>
              <w:right w:w="60" w:type="dxa"/>
            </w:tcMar>
            <w:vAlign w:val="center"/>
          </w:tcPr>
          <w:p>
            <w:pPr>
              <w:spacing w:before="0" w:after="0"/>
              <w:jc w:val="left"/>
            </w:pPr>
            <w:r>
              <w:rPr>
                <w:rFonts w:ascii="Times New Roman" w:hAnsi="Times New Roman"/>
                <w:b/>
                <w:sz w:val="19"/>
              </w:rPr>
              <w:t>Feature / Architectural Dimension</w:t>
            </w:r>
          </w:p>
        </w:tc>
        <w:tc>
          <w:tcPr>
            <w:tcW w:type="dxa" w:w="1354"/>
            <w:shd w:fill="F2F4F7"/>
            <w:tcMar>
              <w:top w:w="60" w:type="dxa"/>
              <w:bottom w:w="60" w:type="dxa"/>
              <w:left w:w="60" w:type="dxa"/>
              <w:right w:w="60" w:type="dxa"/>
            </w:tcMar>
            <w:vAlign w:val="center"/>
          </w:tcPr>
          <w:p>
            <w:pPr>
              <w:spacing w:before="0" w:after="0"/>
              <w:jc w:val="center"/>
            </w:pPr>
            <w:r>
              <w:rPr>
                <w:rFonts w:ascii="Times New Roman" w:hAnsi="Times New Roman"/>
                <w:b/>
                <w:sz w:val="19"/>
              </w:rPr>
              <w:t>Devin (Cognition)</w:t>
            </w:r>
          </w:p>
        </w:tc>
        <w:tc>
          <w:tcPr>
            <w:tcW w:type="dxa" w:w="1354"/>
            <w:shd w:fill="F2F4F7"/>
            <w:tcMar>
              <w:top w:w="60" w:type="dxa"/>
              <w:bottom w:w="60" w:type="dxa"/>
              <w:left w:w="60" w:type="dxa"/>
              <w:right w:w="60" w:type="dxa"/>
            </w:tcMar>
            <w:vAlign w:val="center"/>
          </w:tcPr>
          <w:p>
            <w:pPr>
              <w:spacing w:before="0" w:after="0"/>
              <w:jc w:val="center"/>
            </w:pPr>
            <w:r>
              <w:rPr>
                <w:rFonts w:ascii="Times New Roman" w:hAnsi="Times New Roman"/>
                <w:b/>
                <w:sz w:val="19"/>
              </w:rPr>
              <w:t>SWE-agent (Princeton)</w:t>
            </w:r>
          </w:p>
        </w:tc>
        <w:tc>
          <w:tcPr>
            <w:tcW w:type="dxa" w:w="1354"/>
            <w:shd w:fill="F2F4F7"/>
            <w:tcMar>
              <w:top w:w="60" w:type="dxa"/>
              <w:bottom w:w="60" w:type="dxa"/>
              <w:left w:w="60" w:type="dxa"/>
              <w:right w:w="60" w:type="dxa"/>
            </w:tcMar>
            <w:vAlign w:val="center"/>
          </w:tcPr>
          <w:p>
            <w:pPr>
              <w:spacing w:before="0" w:after="0"/>
              <w:jc w:val="center"/>
            </w:pPr>
            <w:r>
              <w:rPr>
                <w:rFonts w:ascii="Times New Roman" w:hAnsi="Times New Roman"/>
                <w:b/>
                <w:sz w:val="19"/>
              </w:rPr>
              <w:t>MetaGPT (DeepWisdom)</w:t>
            </w:r>
          </w:p>
        </w:tc>
        <w:tc>
          <w:tcPr>
            <w:tcW w:type="dxa" w:w="1354"/>
            <w:shd w:fill="F2F4F7"/>
            <w:tcMar>
              <w:top w:w="60" w:type="dxa"/>
              <w:bottom w:w="60" w:type="dxa"/>
              <w:left w:w="60" w:type="dxa"/>
              <w:right w:w="60" w:type="dxa"/>
            </w:tcMar>
            <w:vAlign w:val="center"/>
          </w:tcPr>
          <w:p>
            <w:pPr>
              <w:spacing w:before="0" w:after="0"/>
              <w:jc w:val="center"/>
            </w:pPr>
            <w:r>
              <w:rPr>
                <w:rFonts w:ascii="Times New Roman" w:hAnsi="Times New Roman"/>
                <w:b/>
                <w:sz w:val="19"/>
              </w:rPr>
              <w:t>AutoGPT (Richards)</w:t>
            </w:r>
          </w:p>
        </w:tc>
        <w:tc>
          <w:tcPr>
            <w:tcW w:type="dxa" w:w="1354"/>
            <w:shd w:fill="F2F4F7"/>
            <w:tcMar>
              <w:top w:w="60" w:type="dxa"/>
              <w:bottom w:w="60" w:type="dxa"/>
              <w:left w:w="60" w:type="dxa"/>
              <w:right w:w="60" w:type="dxa"/>
            </w:tcMar>
            <w:vAlign w:val="center"/>
          </w:tcPr>
          <w:p>
            <w:pPr>
              <w:spacing w:before="0" w:after="0"/>
              <w:jc w:val="center"/>
            </w:pPr>
            <w:r>
              <w:rPr>
                <w:rFonts w:ascii="Times New Roman" w:hAnsi="Times New Roman"/>
                <w:b/>
                <w:sz w:val="19"/>
              </w:rPr>
              <w:t>AutoDev (Proposed Platform)</w:t>
            </w:r>
          </w:p>
        </w:tc>
      </w:tr>
      <w:tr>
        <w:trPr>
          <w:cantSplit/>
        </w:trPr>
        <w:tc>
          <w:tcPr>
            <w:tcW w:type="dxa" w:w="2261"/>
            <w:tcMar>
              <w:top w:w="45" w:type="dxa"/>
              <w:bottom w:w="45" w:type="dxa"/>
              <w:left w:w="50" w:type="dxa"/>
              <w:right w:w="50" w:type="dxa"/>
            </w:tcMar>
            <w:vAlign w:val="center"/>
          </w:tcPr>
          <w:p>
            <w:pPr>
              <w:spacing w:before="0" w:after="0" w:line="276" w:lineRule="auto"/>
              <w:jc w:val="left"/>
            </w:pPr>
            <w:r>
              <w:rPr>
                <w:rFonts w:ascii="Times New Roman" w:hAnsi="Times New Roman"/>
                <w:b/>
                <w:sz w:val="18"/>
              </w:rPr>
              <w:t>Primary Target Domain</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Autonomous SWE SaaS</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Benchmark Bug Repair</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SOP Software Modeling</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General-Purpose Agent</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Full-Stack Autonomous SDLC</w:t>
            </w:r>
          </w:p>
        </w:tc>
      </w:tr>
      <w:tr>
        <w:trPr>
          <w:cantSplit/>
        </w:trPr>
        <w:tc>
          <w:tcPr>
            <w:tcW w:type="dxa" w:w="2261"/>
            <w:tcMar>
              <w:top w:w="45" w:type="dxa"/>
              <w:bottom w:w="45" w:type="dxa"/>
              <w:left w:w="50" w:type="dxa"/>
              <w:right w:w="50" w:type="dxa"/>
            </w:tcMar>
            <w:vAlign w:val="center"/>
          </w:tcPr>
          <w:p>
            <w:pPr>
              <w:spacing w:before="0" w:after="0" w:line="276" w:lineRule="auto"/>
              <w:jc w:val="left"/>
            </w:pPr>
            <w:r>
              <w:rPr>
                <w:rFonts w:ascii="Times New Roman" w:hAnsi="Times New Roman"/>
                <w:b/>
                <w:sz w:val="18"/>
              </w:rPr>
              <w:t>Multi-Agent Role Decoupling</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Single Agent + Sub-tools</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Single Agent (ACI)</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Multi-Agent (Role Personas)</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Single Agent + Sub-tasks</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Decoupled Multi-Agent Ensemble</w:t>
            </w:r>
          </w:p>
        </w:tc>
      </w:tr>
      <w:tr>
        <w:trPr>
          <w:cantSplit/>
        </w:trPr>
        <w:tc>
          <w:tcPr>
            <w:tcW w:type="dxa" w:w="2261"/>
            <w:tcMar>
              <w:top w:w="45" w:type="dxa"/>
              <w:bottom w:w="45" w:type="dxa"/>
              <w:left w:w="50" w:type="dxa"/>
              <w:right w:w="50" w:type="dxa"/>
            </w:tcMar>
            <w:vAlign w:val="center"/>
          </w:tcPr>
          <w:p>
            <w:pPr>
              <w:spacing w:before="0" w:after="0" w:line="276" w:lineRule="auto"/>
              <w:jc w:val="left"/>
            </w:pPr>
            <w:r>
              <w:rPr>
                <w:rFonts w:ascii="Times New Roman" w:hAnsi="Times New Roman"/>
                <w:b/>
                <w:sz w:val="18"/>
              </w:rPr>
              <w:t>Architectural Dependency Scheduling</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Sequential / Ad-hoc</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None (Single-Issue)</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Linear Waterfall Chain</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Unstructured Task Queue</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Topological DAG (Kahn + Tarjan SCC)</w:t>
            </w:r>
          </w:p>
        </w:tc>
      </w:tr>
      <w:tr>
        <w:trPr>
          <w:cantSplit/>
        </w:trPr>
        <w:tc>
          <w:tcPr>
            <w:tcW w:type="dxa" w:w="2261"/>
            <w:tcMar>
              <w:top w:w="45" w:type="dxa"/>
              <w:bottom w:w="45" w:type="dxa"/>
              <w:left w:w="50" w:type="dxa"/>
              <w:right w:w="50" w:type="dxa"/>
            </w:tcMar>
            <w:vAlign w:val="center"/>
          </w:tcPr>
          <w:p>
            <w:pPr>
              <w:spacing w:before="0" w:after="0" w:line="276" w:lineRule="auto"/>
              <w:jc w:val="left"/>
            </w:pPr>
            <w:r>
              <w:rPr>
                <w:rFonts w:ascii="Times New Roman" w:hAnsi="Times New Roman"/>
                <w:b/>
                <w:sz w:val="18"/>
              </w:rPr>
              <w:t>Concurrency Safety &amp; Deadlock Prevention</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Virtual Machine Lock</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Sequential Execution</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None (Sequential Only)</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None (Thread Unsafe)</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Lease Mutexes + Epoch Fencing</w:t>
            </w:r>
          </w:p>
        </w:tc>
      </w:tr>
      <w:tr>
        <w:trPr>
          <w:cantSplit/>
        </w:trPr>
        <w:tc>
          <w:tcPr>
            <w:tcW w:type="dxa" w:w="2261"/>
            <w:tcMar>
              <w:top w:w="45" w:type="dxa"/>
              <w:bottom w:w="45" w:type="dxa"/>
              <w:left w:w="50" w:type="dxa"/>
              <w:right w:w="50" w:type="dxa"/>
            </w:tcMar>
            <w:vAlign w:val="center"/>
          </w:tcPr>
          <w:p>
            <w:pPr>
              <w:spacing w:before="0" w:after="0" w:line="276" w:lineRule="auto"/>
              <w:jc w:val="left"/>
            </w:pPr>
            <w:r>
              <w:rPr>
                <w:rFonts w:ascii="Times New Roman" w:hAnsi="Times New Roman"/>
                <w:b/>
                <w:sz w:val="18"/>
              </w:rPr>
              <w:t>API Key Balancer &amp; Quota Management</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Proprietary Cloud Pool</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Single Static API Key</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Single Static API Key</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Single Static API Key</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Smart Multi-Pool Chi-Square (χ²) Balancer</w:t>
            </w:r>
          </w:p>
        </w:tc>
      </w:tr>
      <w:tr>
        <w:trPr>
          <w:cantSplit/>
        </w:trPr>
        <w:tc>
          <w:tcPr>
            <w:tcW w:type="dxa" w:w="2261"/>
            <w:tcMar>
              <w:top w:w="45" w:type="dxa"/>
              <w:bottom w:w="45" w:type="dxa"/>
              <w:left w:w="50" w:type="dxa"/>
              <w:right w:w="50" w:type="dxa"/>
            </w:tcMar>
            <w:vAlign w:val="center"/>
          </w:tcPr>
          <w:p>
            <w:pPr>
              <w:spacing w:before="0" w:after="0" w:line="276" w:lineRule="auto"/>
              <w:jc w:val="left"/>
            </w:pPr>
            <w:r>
              <w:rPr>
                <w:rFonts w:ascii="Times New Roman" w:hAnsi="Times New Roman"/>
                <w:b/>
                <w:sz w:val="18"/>
              </w:rPr>
              <w:t>Sandboxed Execution Environment</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Full Cloud VM (Custom)</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Docker Subprocess</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None (Static Generation)</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Local OS Subprocess</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Rootless Docker Engine (cgroups)</w:t>
            </w:r>
          </w:p>
        </w:tc>
      </w:tr>
      <w:tr>
        <w:trPr>
          <w:cantSplit/>
        </w:trPr>
        <w:tc>
          <w:tcPr>
            <w:tcW w:type="dxa" w:w="2261"/>
            <w:tcMar>
              <w:top w:w="45" w:type="dxa"/>
              <w:bottom w:w="45" w:type="dxa"/>
              <w:left w:w="50" w:type="dxa"/>
              <w:right w:w="50" w:type="dxa"/>
            </w:tcMar>
            <w:vAlign w:val="center"/>
          </w:tcPr>
          <w:p>
            <w:pPr>
              <w:spacing w:before="0" w:after="0" w:line="276" w:lineRule="auto"/>
              <w:jc w:val="left"/>
            </w:pPr>
            <w:r>
              <w:rPr>
                <w:rFonts w:ascii="Times New Roman" w:hAnsi="Times New Roman"/>
                <w:b/>
                <w:sz w:val="18"/>
              </w:rPr>
              <w:t>Automated Peer-Review Critics</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Self-Inspection Loop</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Test Harness Execution</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None (Static Text Only)</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Self-Prompt Reflection</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Decoupled 4-Critic Arbitration Network</w:t>
            </w:r>
          </w:p>
        </w:tc>
      </w:tr>
      <w:tr>
        <w:trPr>
          <w:cantSplit/>
        </w:trPr>
        <w:tc>
          <w:tcPr>
            <w:tcW w:type="dxa" w:w="2261"/>
            <w:tcMar>
              <w:top w:w="45" w:type="dxa"/>
              <w:bottom w:w="45" w:type="dxa"/>
              <w:left w:w="50" w:type="dxa"/>
              <w:right w:w="50" w:type="dxa"/>
            </w:tcMar>
            <w:vAlign w:val="center"/>
          </w:tcPr>
          <w:p>
            <w:pPr>
              <w:spacing w:before="0" w:after="0" w:line="276" w:lineRule="auto"/>
              <w:jc w:val="left"/>
            </w:pPr>
            <w:r>
              <w:rPr>
                <w:rFonts w:ascii="Times New Roman" w:hAnsi="Times New Roman"/>
                <w:b/>
                <w:sz w:val="18"/>
              </w:rPr>
              <w:t>Closed-Loop Self-Healing</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Yes (VM Shell Loop)</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Yes (Patch Iteration)</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No (Manual Debugging)</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Unstable Recursive Loops</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Deterministic AST/Test Repair Loop</w:t>
            </w:r>
          </w:p>
        </w:tc>
      </w:tr>
      <w:tr>
        <w:trPr>
          <w:cantSplit/>
        </w:trPr>
        <w:tc>
          <w:tcPr>
            <w:tcW w:type="dxa" w:w="2261"/>
            <w:tcMar>
              <w:top w:w="45" w:type="dxa"/>
              <w:bottom w:w="45" w:type="dxa"/>
              <w:left w:w="50" w:type="dxa"/>
              <w:right w:w="50" w:type="dxa"/>
            </w:tcMar>
            <w:vAlign w:val="center"/>
          </w:tcPr>
          <w:p>
            <w:pPr>
              <w:spacing w:before="0" w:after="0" w:line="276" w:lineRule="auto"/>
              <w:jc w:val="left"/>
            </w:pPr>
            <w:r>
              <w:rPr>
                <w:rFonts w:ascii="Times New Roman" w:hAnsi="Times New Roman"/>
                <w:b/>
                <w:sz w:val="18"/>
              </w:rPr>
              <w:t>Dual Operational Paradigms</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No (Single Paradigm)</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No (Issue Repair Only)</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No (Single Waterfall)</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No (Unbounded Loop)</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Single-Pass SDLC &amp; Parallel DAG Engine</w:t>
            </w:r>
          </w:p>
        </w:tc>
      </w:tr>
      <w:tr>
        <w:trPr>
          <w:cantSplit/>
        </w:trPr>
        <w:tc>
          <w:tcPr>
            <w:tcW w:type="dxa" w:w="2261"/>
            <w:tcMar>
              <w:top w:w="45" w:type="dxa"/>
              <w:bottom w:w="45" w:type="dxa"/>
              <w:left w:w="50" w:type="dxa"/>
              <w:right w:w="50" w:type="dxa"/>
            </w:tcMar>
            <w:vAlign w:val="center"/>
          </w:tcPr>
          <w:p>
            <w:pPr>
              <w:spacing w:before="0" w:after="0" w:line="276" w:lineRule="auto"/>
              <w:jc w:val="left"/>
            </w:pPr>
            <w:r>
              <w:rPr>
                <w:rFonts w:ascii="Times New Roman" w:hAnsi="Times New Roman"/>
                <w:b/>
                <w:sz w:val="18"/>
              </w:rPr>
              <w:t>User Interface &amp; Telemetry Layer</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Proprietary Web UI</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Raw CLI Terminal</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CLI / Static HTML Docs</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CLI / Basic Web Wrapper</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Translucent Web Console + Monaco IDE + SSE</w:t>
            </w:r>
          </w:p>
        </w:tc>
      </w:tr>
      <w:tr>
        <w:trPr>
          <w:cantSplit/>
        </w:trPr>
        <w:tc>
          <w:tcPr>
            <w:tcW w:type="dxa" w:w="2261"/>
            <w:tcMar>
              <w:top w:w="45" w:type="dxa"/>
              <w:bottom w:w="45" w:type="dxa"/>
              <w:left w:w="50" w:type="dxa"/>
              <w:right w:w="50" w:type="dxa"/>
            </w:tcMar>
            <w:vAlign w:val="center"/>
          </w:tcPr>
          <w:p>
            <w:pPr>
              <w:spacing w:before="0" w:after="0" w:line="276" w:lineRule="auto"/>
              <w:jc w:val="left"/>
            </w:pPr>
            <w:r>
              <w:rPr>
                <w:rFonts w:ascii="Times New Roman" w:hAnsi="Times New Roman"/>
                <w:b/>
                <w:sz w:val="18"/>
              </w:rPr>
              <w:t>Open-Source &amp; Self-Hostability</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No (Proprietary SaaS)</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Yes (Open Source)</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Yes (Open Source)</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sz w:val="18"/>
              </w:rPr>
              <w:t>Yes (Open Source)</w:t>
            </w:r>
          </w:p>
        </w:tc>
        <w:tc>
          <w:tcPr>
            <w:tcW w:type="dxa" w:w="1354"/>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Yes (Fully Self-Hostable)</w:t>
            </w:r>
          </w:p>
        </w:tc>
      </w:tr>
    </w:tbl>
    <w:p>
      <w:pPr>
        <w:spacing w:line="360" w:lineRule="auto" w:after="120"/>
        <w:jc w:val="both"/>
      </w:pPr>
      <w:r>
        <w:rPr>
          <w:rFonts w:ascii="Times New Roman" w:hAnsi="Times New Roman"/>
          <w:sz w:val="24"/>
        </w:rPr>
        <w:t>As evidenced by the rigorous comparative synthesis in Table 2.1, AutoDev addresses the structural limitations that impede contemporary autonomous coding systems. By uniting topological DAG scheduling, provable deadlock-free concurrency control, an empirical rootless Docker sandbox, multi-critic arbitration, and a hardware-accelerated translucent web console with Monaco IDE telemetry, AutoDev establishes a new benchmark for autonomous, production-grade software repository delivery.</w:t>
      </w:r>
    </w:p>
    <w:p>
      <w:r>
        <w:br w:type="page"/>
      </w:r>
    </w:p>
    <w:p>
      <w:pPr>
        <w:spacing w:before="320" w:after="80"/>
        <w:jc w:val="center"/>
      </w:pPr>
      <w:r>
        <w:rPr>
          <w:rFonts w:ascii="Times New Roman" w:hAnsi="Times New Roman"/>
          <w:b/>
          <w:sz w:val="32"/>
        </w:rPr>
        <w:t>CHAPTER 3</w:t>
      </w:r>
    </w:p>
    <w:p>
      <w:pPr>
        <w:spacing w:before="80" w:after="480"/>
        <w:jc w:val="center"/>
      </w:pPr>
      <w:r>
        <w:rPr>
          <w:rFonts w:ascii="Times New Roman" w:hAnsi="Times New Roman"/>
          <w:b/>
          <w:sz w:val="32"/>
        </w:rPr>
        <w:t>PROBLEM IDENTIFICATION AND OBJECTIVE</w:t>
      </w:r>
    </w:p>
    <w:p>
      <w:pPr>
        <w:keepNext/>
        <w:spacing w:before="360" w:after="120"/>
      </w:pPr>
      <w:r>
        <w:rPr>
          <w:rFonts w:ascii="Times New Roman" w:hAnsi="Times New Roman"/>
          <w:b/>
          <w:sz w:val="28"/>
        </w:rPr>
        <w:t>3.1 Statement of the Problem</w:t>
      </w:r>
    </w:p>
    <w:p>
      <w:pPr>
        <w:spacing w:line="360" w:lineRule="auto" w:after="120"/>
        <w:jc w:val="both"/>
      </w:pPr>
      <w:r>
        <w:rPr>
          <w:rFonts w:ascii="Times New Roman" w:hAnsi="Times New Roman"/>
          <w:sz w:val="24"/>
        </w:rPr>
        <w:t>Despite the transformative strides achieved by Large Language Models in natural language understanding and syntax prediction, a profound engineering gap persists between interactive conversational code assistance and autonomous, production-grade software repository delivery. While modern developer tools provide capable inline code completion, the end-to-end software development lifecycle remains intensely manual, fragile, and cognitively overwhelming. When existing generative AI workflows are tasked with architecting, generating, testing, and verifying multi-file software applications from natural language requirements, five fundamental problems arise:</w:t>
      </w:r>
    </w:p>
    <w:p>
      <w:pPr>
        <w:spacing w:line="360" w:lineRule="auto" w:after="120"/>
        <w:ind w:left="360"/>
        <w:jc w:val="both"/>
      </w:pPr>
      <w:r>
        <w:rPr>
          <w:rFonts w:ascii="Times New Roman" w:hAnsi="Times New Roman"/>
          <w:b/>
          <w:sz w:val="24"/>
        </w:rPr>
        <w:t xml:space="preserve">1.  </w:t>
      </w:r>
      <w:r>
        <w:rPr>
          <w:rFonts w:ascii="Times New Roman" w:hAnsi="Times New Roman"/>
          <w:b/>
          <w:sz w:val="24"/>
        </w:rPr>
        <w:t xml:space="preserve">The Context Window Saturation and Monolithic Prompt Bottleneck: </w:t>
      </w:r>
      <w:r>
        <w:rPr>
          <w:rFonts w:ascii="Times New Roman" w:hAnsi="Times New Roman"/>
          <w:sz w:val="24"/>
        </w:rPr>
        <w:t>Conventional generative programming workflows rely on the "Single-Prompt Fallacy"—the ungrounded expectation that an entire full-stack software system can be coherently emitted within a single conversational turn. Real-world software systems are inherently multi-tiered, comprising relational database schemas, REST or GraphQL API controllers, authentication middleware, client-side graphical interfaces, styling modules, and container deployment manifests. As prompt length and code complexity scale, foundational models experience acute context dilution and attention dispersion. Over extended token generation horizons, models lose track of early architectural decisions, emit incompatible interface signatures across architectural layers, truncate source code blocks, and hallucinate non-existent dependencies. Attempting to synthesize a complex software repository as a monolithic text completion task is fundamentally unscalable.</w:t>
      </w:r>
    </w:p>
    <w:p>
      <w:pPr>
        <w:spacing w:line="360" w:lineRule="auto" w:after="120"/>
        <w:ind w:left="360"/>
        <w:jc w:val="both"/>
      </w:pPr>
      <w:r>
        <w:rPr>
          <w:rFonts w:ascii="Times New Roman" w:hAnsi="Times New Roman"/>
          <w:b/>
          <w:sz w:val="24"/>
        </w:rPr>
        <w:t xml:space="preserve">2.  </w:t>
      </w:r>
      <w:r>
        <w:rPr>
          <w:rFonts w:ascii="Times New Roman" w:hAnsi="Times New Roman"/>
          <w:b/>
          <w:sz w:val="24"/>
        </w:rPr>
        <w:t xml:space="preserve">The Empirical Grounding Void and Absence of Runtime Verification: </w:t>
      </w:r>
      <w:r>
        <w:rPr>
          <w:rFonts w:ascii="Times New Roman" w:hAnsi="Times New Roman"/>
          <w:sz w:val="24"/>
        </w:rPr>
        <w:t>Code emitted by Large Language Models exists purely in a statistical space of textual tokens. An LLM possesses zero intrinsic understanding of whether its synthesized code can compile, link, install required dependencies, or execute without runtime exceptions. Existing commercial assistants operate without execution sandboxes: they cannot invoke compilers (`tsc`, `gcc`), trigger package managers (`npm`, `pip`), or execute automated test suites. Consequently, syntactically plausible but fatally flawed code—containing subtle runtime type errors, missing system libraries, deprecated package APIs, and failing assertion logic—is silently emitted to the human developer. This lack of empirical runtime feedback creates an exhausting manual debugging burden, negating the core productivity promises of generative AI.</w:t>
      </w:r>
    </w:p>
    <w:p>
      <w:pPr>
        <w:spacing w:line="360" w:lineRule="auto" w:after="120"/>
        <w:ind w:left="360"/>
        <w:jc w:val="both"/>
      </w:pPr>
      <w:r>
        <w:rPr>
          <w:rFonts w:ascii="Times New Roman" w:hAnsi="Times New Roman"/>
          <w:b/>
          <w:sz w:val="24"/>
        </w:rPr>
        <w:t xml:space="preserve">3.  </w:t>
      </w:r>
      <w:r>
        <w:rPr>
          <w:rFonts w:ascii="Times New Roman" w:hAnsi="Times New Roman"/>
          <w:b/>
          <w:sz w:val="24"/>
        </w:rPr>
        <w:t xml:space="preserve">Upstream Commercial API Quota Exhaustion and Throttling Vulnerability: </w:t>
      </w:r>
      <w:r>
        <w:rPr>
          <w:rFonts w:ascii="Times New Roman" w:hAnsi="Times New Roman"/>
          <w:sz w:val="24"/>
        </w:rPr>
        <w:t>The autonomous synthesis of an enterprise software repository demands hundreds of thousands of prompt and completion tokens transmitted in rapid bursts across multiple specialized agents. Commercial LLM inference providers enforce stringent Requests-Per-Minute (RPM), Tokens-Per-Minute (TPM), and daily financial credit limits. Under concurrent agent execution, naive frameworks frequently trigger HTTP 429 (Rate Limit Exceeded) exceptions, transient network timeouts, and provider outages. Standard frameworks lack dynamic, multi-pool API key balancing, causing active generation pipelines to crash catastrophically midway through repository construction, losing all work-in-progress state and wasting substantial computational capital.</w:t>
      </w:r>
    </w:p>
    <w:p>
      <w:pPr>
        <w:spacing w:line="360" w:lineRule="auto" w:after="120"/>
        <w:ind w:left="360"/>
        <w:jc w:val="both"/>
      </w:pPr>
      <w:r>
        <w:rPr>
          <w:rFonts w:ascii="Times New Roman" w:hAnsi="Times New Roman"/>
          <w:b/>
          <w:sz w:val="24"/>
        </w:rPr>
        <w:t xml:space="preserve">4.  </w:t>
      </w:r>
      <w:r>
        <w:rPr>
          <w:rFonts w:ascii="Times New Roman" w:hAnsi="Times New Roman"/>
          <w:b/>
          <w:sz w:val="24"/>
        </w:rPr>
        <w:t xml:space="preserve">Concurrency Anomalies, Race Conditions, and Pipeline Deadlocks: </w:t>
      </w:r>
      <w:r>
        <w:rPr>
          <w:rFonts w:ascii="Times New Roman" w:hAnsi="Times New Roman"/>
          <w:sz w:val="24"/>
        </w:rPr>
        <w:t>When multiple autonomous agents operate concurrently on interdependent components (such as an asynchronous backend service and a frontend UI consuming its endpoints), they mutate a shared repository state. In the absence of formal synchronization primitives, parallel agent execution introduces classic distributed concurrency hazards: race conditions on shared configuration manifests (`package.json`, `.env`, `docker-compose.yml`), lost updates, and stale overwrites caused by lagging "zombie agents." Furthermore, when architectural decomposition inadvertently creates circular component dependencies, topological schedulers freeze indefinitely, falling victim to Coffman’s classic deadlock conditions.</w:t>
      </w:r>
    </w:p>
    <w:p>
      <w:pPr>
        <w:spacing w:line="360" w:lineRule="auto" w:after="120"/>
        <w:ind w:left="360"/>
        <w:jc w:val="both"/>
      </w:pPr>
      <w:r>
        <w:rPr>
          <w:rFonts w:ascii="Times New Roman" w:hAnsi="Times New Roman"/>
          <w:b/>
          <w:sz w:val="24"/>
        </w:rPr>
        <w:t xml:space="preserve">5.  </w:t>
      </w:r>
      <w:r>
        <w:rPr>
          <w:rFonts w:ascii="Times New Roman" w:hAnsi="Times New Roman"/>
          <w:b/>
          <w:sz w:val="24"/>
        </w:rPr>
        <w:t xml:space="preserve">The Developer Telemetry Void and Opaque "Black-Box" Execution: </w:t>
      </w:r>
      <w:r>
        <w:rPr>
          <w:rFonts w:ascii="Times New Roman" w:hAnsi="Times New Roman"/>
          <w:sz w:val="24"/>
        </w:rPr>
        <w:t>The vast majority of autonomous agent research implementations operate exclusively as opaque command-line scripts or unstructured terminal logs. Developers and system evaluators are left completely blind regarding an agent’s internal reasoning state, active topological dependency tracks, real-time token expenditures, container test exit codes, and timeline metrics. Software engineers cannot inspect intermediate code in a professional IDE environment, verify test diagnostics, or interact with a live preview of the running application prior to repository export.</w:t>
      </w:r>
    </w:p>
    <w:p>
      <w:pPr>
        <w:keepNext/>
        <w:spacing w:before="360" w:after="120"/>
      </w:pPr>
      <w:r>
        <w:rPr>
          <w:rFonts w:ascii="Times New Roman" w:hAnsi="Times New Roman"/>
          <w:b/>
          <w:sz w:val="28"/>
        </w:rPr>
        <w:t>3.2 Objectives of the Project</w:t>
      </w:r>
    </w:p>
    <w:p>
      <w:pPr>
        <w:spacing w:line="360" w:lineRule="auto" w:after="120"/>
        <w:jc w:val="both"/>
      </w:pPr>
      <w:r>
        <w:rPr>
          <w:rFonts w:ascii="Times New Roman" w:hAnsi="Times New Roman"/>
          <w:sz w:val="24"/>
        </w:rPr>
        <w:t>The primary objective of the AutoDev project is to design, architect, implement, and empirically validate an autonomous, full-stack multi-agent software engineering platform that deterministically transforms high-level natural language requirements into verified, functional, and production-grade software repositories within an isolated sandbox environment, eliminating human intervention in the synthesis, verification, and repair lifecycle. To systematically accomplish this overarching goal, the project is structured around the following specific technical sub-objectives: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Decoupled Multi-Agent Topology &amp; Role Specialization: </w:t>
      </w:r>
      <w:r>
        <w:rPr>
          <w:rFonts w:ascii="Times New Roman" w:hAnsi="Times New Roman"/>
          <w:sz w:val="24"/>
        </w:rPr>
        <w:t>To architect and orchestrate a collaborative multi-agent architecture where distinct cognitive personas—including the Master Architect, Component DAG Scheduler, CodeGen Agents, Multi-Critic Arbiters, and Sandbox Verifiers—operate with strict separation of concerns, eliminating unstructured conversational drift and preventing context saturation.</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Topological Dependency Scheduling &amp; Cycle Resolution: </w:t>
      </w:r>
      <w:r>
        <w:rPr>
          <w:rFonts w:ascii="Times New Roman" w:hAnsi="Times New Roman"/>
          <w:sz w:val="24"/>
        </w:rPr>
        <w:t>To implement a graph-based scheduling engine utilizing Kahn’s topological sorting algorithm ($\O(|V| + |E|)$) to maximize parallel synthesis across independent components, coupled with Tarjan’s Strongly Connected Components (SCC) algorithm to dynamically detect and resolve circular dependency deadlocks during architectural planning.</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Deadlock-Free Concurrency Control &amp; Monotonic Epoch Fencing: </w:t>
      </w:r>
      <w:r>
        <w:rPr>
          <w:rFonts w:ascii="Times New Roman" w:hAnsi="Times New Roman"/>
          <w:sz w:val="24"/>
        </w:rPr>
        <w:t>To establish a provably safe concurrency framework combining total-order two-phase mutex locking (formally eliminating Coffman’s hold-and-wait and circular wait conditions) with Martin Kleppmann’s monotonic epoch fencing tokens ($\τ_epoch$), guaranteeing race-free repository state mutations and preventing stale writes from lagging zombie agents.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Multi-Pool Smart API Key Balancer with Chi-Square Fairness: </w:t>
      </w:r>
      <w:r>
        <w:rPr>
          <w:rFonts w:ascii="Times New Roman" w:hAnsi="Times New Roman"/>
          <w:sz w:val="24"/>
        </w:rPr>
        <w:t>To engineer a dynamic, multi-pool API key management and routing subsystem that tracks real-time token exhaustion, applies exponential cooldown decay penalties, enforces universal fallback cascades across heterogeneous LLM providers (OpenAI, Anthropic, Google Gemini, Groq, Ollama), and achieves statistically verified Chi-Square (χ²) fair load distribution.</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Universal Rootless Docker Sandbox &amp; Runtime Isolation: </w:t>
      </w:r>
      <w:r>
        <w:rPr>
          <w:rFonts w:ascii="Times New Roman" w:hAnsi="Times New Roman"/>
          <w:sz w:val="24"/>
        </w:rPr>
        <w:t>To develop an ephemeral, rootless Docker container execution engine capable of sub-second instantiation, strict resource bounding (cgroup CPU/RAM caps, non-root execution), automated multi-language dependency installation, and structured capture of standard output, standard error, and container exit codes.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Multi-Critic Automated Peer-Review &amp; Closed-Loop Self-Healing: </w:t>
      </w:r>
      <w:r>
        <w:rPr>
          <w:rFonts w:ascii="Times New Roman" w:hAnsi="Times New Roman"/>
          <w:sz w:val="24"/>
        </w:rPr>
        <w:t>To construct a four-tier automated critic arbitration network (AST Validator, Linter/Type Critic, Semantic Logic Critic, Security Vulnerability Auditor) that parses execution telemetry, synthesizes structured diagnostic payloads, and executes targeted self-healing repair loops without regenerating entire repositories.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Dual Operational Paradigm Engine: </w:t>
      </w:r>
      <w:r>
        <w:rPr>
          <w:rFonts w:ascii="Times New Roman" w:hAnsi="Times New Roman"/>
          <w:sz w:val="24"/>
        </w:rPr>
        <w:t>To implement dynamic operational switching between a high-velocity Single-Pass Autonomous SDLC engine (for compact, single-tier modules) and a Component-Wise Parallel Pipeline DAG Engine (for complex multi-tier enterprise systems).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Translucent Telemetry Web Console &amp; Monaco IDE Integration: </w:t>
      </w:r>
      <w:r>
        <w:rPr>
          <w:rFonts w:ascii="Times New Roman" w:hAnsi="Times New Roman"/>
          <w:sz w:val="24"/>
        </w:rPr>
        <w:t>To construct a high-performance web presentation console utilizing React 19, TypeScript, and Tailwind CSS, featuring an embedded multi-tab Monaco IDE, real-time Server-Sent Events (SSE) telemetry streams, interactive dependency DAG graphs, Gantt timeline telemetry, live container preview iframes, and one-click atomic GitHub repository export.</w:t>
      </w:r>
    </w:p>
    <w:p>
      <w:pPr>
        <w:keepNext/>
        <w:spacing w:before="360" w:after="120"/>
      </w:pPr>
      <w:r>
        <w:rPr>
          <w:rFonts w:ascii="Times New Roman" w:hAnsi="Times New Roman"/>
          <w:b/>
          <w:sz w:val="28"/>
        </w:rPr>
        <w:t>3.3 Scope of the Project</w:t>
      </w:r>
    </w:p>
    <w:p>
      <w:pPr>
        <w:spacing w:line="360" w:lineRule="auto" w:after="120"/>
        <w:jc w:val="both"/>
      </w:pPr>
      <w:r>
        <w:rPr>
          <w:rFonts w:ascii="Times New Roman" w:hAnsi="Times New Roman"/>
          <w:sz w:val="24"/>
        </w:rPr>
        <w:t>The scope delineates the precise operational boundaries, functional capacities, technological commitments, and constraints of the AutoDev platform, structured across four primary dimensions: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Functional Scope: </w:t>
      </w:r>
      <w:r>
        <w:rPr>
          <w:rFonts w:ascii="Times New Roman" w:hAnsi="Times New Roman"/>
          <w:sz w:val="24"/>
        </w:rPr>
        <w:t>AutoDev is capable of ingesting ambiguous, natural language user requirements, conducting interactive scoping and intent classification, generating formal architectural blueprints, constructing component dependency DAGs, synthesizing polyglot multi-file source code across diverse languages (Python, TypeScript/JavaScript, Go, Rust, HTML/CSS), assembling container configurations (`Dockerfile`, `docker-compose.yml`), executing automated unit test suites in rootless Docker containers, conducting static AST and security vulnerability audits, executing up to three closed-loop self-healing repair iterations, launching live application previews within embedded web iframes, logging chronological Gantt telemetry, and executing one-click atomic exports to GitHub.</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Technical &amp; Architectural Scope: </w:t>
      </w:r>
      <w:r>
        <w:rPr>
          <w:rFonts w:ascii="Times New Roman" w:hAnsi="Times New Roman"/>
          <w:sz w:val="24"/>
        </w:rPr>
        <w:t>The platform utilizes a decoupled client-server architecture. The backend is built in Python 3.11+ using FastAPI for asynchronous endpoint handling and Server-Sent Events (SSE) telemetry broadcasting. Agent workflows are coordinated through LangGraph state machine automata. Data persistence and audit logging are managed via MongoDB Atlas document stores. Ephemeral sandboxing is executed through native Docker Engine API bindings. The frontend is built with React 19, Vite 6, TypeScript, Tailwind CSS, and the Microsoft Monaco Editor. Inference routing supports commercial APIs (OpenAI GPT-4o, Anthropic Claude 3.5 Sonnet, Google Gemini 1.5/2.0, Groq Llama-3.3-70B) and local Ollama models.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Operational Assumptions &amp; Constraints: </w:t>
      </w:r>
      <w:r>
        <w:rPr>
          <w:rFonts w:ascii="Times New Roman" w:hAnsi="Times New Roman"/>
          <w:sz w:val="24"/>
        </w:rPr>
        <w:t>The host operating environment must support Docker Engine (Docker Desktop or native Linux Docker daemon) for containerized sandboxing. Active internet connectivity is required for commercial LLM API routing (unless operating in air-gapped mode with local Ollama models). Pipeline execution is governed by a configurable timeout threshold (default 600 seconds per pipeline) to prevent unbounded execution loops and excessive operational expenditures. The system is optimized for greenfield software repository synthesis, microservice backends, CLI tools, and modern full-stack web applications.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Future Scope &amp; Research Trajectory: </w:t>
      </w:r>
      <w:r>
        <w:rPr>
          <w:rFonts w:ascii="Times New Roman" w:hAnsi="Times New Roman"/>
          <w:sz w:val="24"/>
        </w:rPr>
        <w:t>While the current implementation achieves complete, autonomous delivery of full-stack repositories, the architectural design accommodates substantial future evolution. Planned extensions include: (1) multi-repository microservice orchestration spanning independent GitHub repositories; (2) Reinforcement Learning from Code Execution Feedback (RLCEF) for dynamic critic consensus weighting; (3) Kubernetes-orchestrated multi-tenant sandbox clusters for enterprise deployment; and (4) deep integration of local fine-tuned coding models (DeepSeek-Coder-V2, Qwen-2.5-Coder) for zero-data-leakage defense and financial environments.</w:t>
      </w:r>
    </w:p>
    <w:p>
      <w:r>
        <w:br w:type="page"/>
      </w:r>
    </w:p>
    <w:p>
      <w:pPr>
        <w:spacing w:before="320" w:after="80"/>
        <w:jc w:val="center"/>
      </w:pPr>
      <w:r>
        <w:rPr>
          <w:rFonts w:ascii="Times New Roman" w:hAnsi="Times New Roman"/>
          <w:b/>
          <w:sz w:val="32"/>
        </w:rPr>
        <w:t>CHAPTER 4</w:t>
      </w:r>
    </w:p>
    <w:p>
      <w:pPr>
        <w:spacing w:before="80" w:after="480"/>
        <w:jc w:val="center"/>
      </w:pPr>
      <w:r>
        <w:rPr>
          <w:rFonts w:ascii="Times New Roman" w:hAnsi="Times New Roman"/>
          <w:b/>
          <w:sz w:val="32"/>
        </w:rPr>
        <w:t>METHODOLOGY</w:t>
      </w:r>
    </w:p>
    <w:p>
      <w:pPr>
        <w:keepNext/>
        <w:spacing w:before="360" w:after="120"/>
      </w:pPr>
      <w:r>
        <w:rPr>
          <w:rFonts w:ascii="Times New Roman" w:hAnsi="Times New Roman"/>
          <w:b/>
          <w:sz w:val="28"/>
        </w:rPr>
        <w:t>4.1 System Architecture &amp; Multi-Agent Topology</w:t>
      </w:r>
    </w:p>
    <w:p>
      <w:pPr>
        <w:spacing w:line="360" w:lineRule="auto" w:after="120"/>
        <w:jc w:val="both"/>
      </w:pPr>
      <w:r>
        <w:rPr>
          <w:rFonts w:ascii="Times New Roman" w:hAnsi="Times New Roman"/>
          <w:sz w:val="24"/>
        </w:rPr>
        <w:t>AutoDev is engineered as an asynchronous, decoupled multi-agent distributed system designed to execute the full software development lifecycle from natural language requirements to production-grade repositories. In contrast to monolithic conversational models that attempt to perform requirements analysis, architectural partitioning, code generation, linting, and testing within a single unstructured context window, AutoDev establishes a disciplined, role-based division of cognitive labor. The system architecture is structured into five foundational subsystems coordinated via an event-driven control plane:</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Master Architect &amp; Intent Scoping Subsystem: </w:t>
      </w:r>
      <w:r>
        <w:rPr>
          <w:rFonts w:ascii="Times New Roman" w:hAnsi="Times New Roman"/>
          <w:sz w:val="24"/>
        </w:rPr>
        <w:t>Acts as the cognitive ingress point. It processes natural language user prompts, disambiguates underspecified functional goals through an interactive dialogue model, formulates technical architecture specifications, and defines cross-component communication contracts.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Component DAG Scheduling Engine: </w:t>
      </w:r>
      <w:r>
        <w:rPr>
          <w:rFonts w:ascii="Times New Roman" w:hAnsi="Times New Roman"/>
          <w:sz w:val="24"/>
        </w:rPr>
        <w:t>Formulates decomposed software modules into an acyclic dependency graph, dynamically resolves dependency topological ordering, and schedules concurrent generation tracks across parallel worker queues.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Parallel CodeGen Worker Ensemble: </w:t>
      </w:r>
      <w:r>
        <w:rPr>
          <w:rFonts w:ascii="Times New Roman" w:hAnsi="Times New Roman"/>
          <w:sz w:val="24"/>
        </w:rPr>
        <w:t>Specialized language-specific synthesis workers that ingest formal component contracts and emit idiomatic, multi-file source code, configuration manifests, and test suites.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Universal Rootless Docker Sandbox: </w:t>
      </w:r>
      <w:r>
        <w:rPr>
          <w:rFonts w:ascii="Times New Roman" w:hAnsi="Times New Roman"/>
          <w:sz w:val="24"/>
        </w:rPr>
        <w:t>Provides an isolated, non-root Linux container execution environment with kernel-level cgroup resource constraints, automating dependency installation, compilation, and live test harness execution.</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Multi-Critic Peer-Review &amp; Self-Healing Network: </w:t>
      </w:r>
      <w:r>
        <w:rPr>
          <w:rFonts w:ascii="Times New Roman" w:hAnsi="Times New Roman"/>
          <w:sz w:val="24"/>
        </w:rPr>
        <w:t>A distributed consensus network comprising AST validation, static linting, semantic logic verification, and security vulnerability auditing that autonomously synthesizes targeted repair patches.</w:t>
      </w:r>
    </w:p>
    <w:p>
      <w:pPr>
        <w:spacing w:line="360" w:lineRule="auto" w:after="120"/>
        <w:jc w:val="both"/>
      </w:pPr>
      <w:r>
        <w:rPr>
          <w:rFonts w:ascii="Times New Roman" w:hAnsi="Times New Roman"/>
          <w:sz w:val="24"/>
        </w:rPr>
        <w:t>Communication across the platform is mediated by an asynchronous FastAPI backend and a persistent LangGraph state machine. Internal agent state transitions are broadcast to the presentation tier in real time using full-duplex Server-Sent Events (SSE), ensuring absolute transparency throughout the execution lifecycle. Fig 4.1 illustrates the high-level multi-agent system architecture topology.</w:t>
      </w:r>
    </w:p>
    <w:p>
      <w:pPr>
        <w:spacing w:before="240" w:after="80"/>
        <w:jc w:val="center"/>
      </w:pPr>
      <w:r>
        <w:drawing>
          <wp:inline xmlns:a="http://schemas.openxmlformats.org/drawingml/2006/main" xmlns:pic="http://schemas.openxmlformats.org/drawingml/2006/picture">
            <wp:extent cx="5303520" cy="3519229"/>
            <wp:docPr id="1" name="Picture 1"/>
            <wp:cNvGraphicFramePr>
              <a:graphicFrameLocks noChangeAspect="1"/>
            </wp:cNvGraphicFramePr>
            <a:graphic>
              <a:graphicData uri="http://schemas.openxmlformats.org/drawingml/2006/picture">
                <pic:pic>
                  <pic:nvPicPr>
                    <pic:cNvPr id="0" name="fig4_1_system_architecture.png"/>
                    <pic:cNvPicPr/>
                  </pic:nvPicPr>
                  <pic:blipFill>
                    <a:blip r:embed="rId11"/>
                    <a:stretch>
                      <a:fillRect/>
                    </a:stretch>
                  </pic:blipFill>
                  <pic:spPr>
                    <a:xfrm>
                      <a:off x="0" y="0"/>
                      <a:ext cx="5303520" cy="3519229"/>
                    </a:xfrm>
                    <a:prstGeom prst="rect"/>
                  </pic:spPr>
                </pic:pic>
              </a:graphicData>
            </a:graphic>
          </wp:inline>
        </w:drawing>
      </w:r>
    </w:p>
    <w:p>
      <w:pPr>
        <w:keepNext/>
        <w:spacing w:before="40" w:after="280"/>
        <w:jc w:val="center"/>
      </w:pPr>
      <w:r>
        <w:rPr>
          <w:rFonts w:ascii="Times New Roman" w:hAnsi="Times New Roman"/>
          <w:b/>
          <w:i/>
          <w:sz w:val="21"/>
        </w:rPr>
        <w:t>Fig 4.1: High-Level Multi-Agent System Architecture Topology</w:t>
      </w:r>
    </w:p>
    <w:p>
      <w:pPr>
        <w:keepNext/>
        <w:spacing w:before="360" w:after="120"/>
      </w:pPr>
      <w:r>
        <w:rPr>
          <w:rFonts w:ascii="Times New Roman" w:hAnsi="Times New Roman"/>
          <w:b/>
          <w:sz w:val="28"/>
        </w:rPr>
        <w:t>4.2 Component DAG Scheduler &amp; Tarjan’s SCC Cycle Resolution</w:t>
      </w:r>
    </w:p>
    <w:p>
      <w:pPr>
        <w:spacing w:line="360" w:lineRule="auto" w:after="120"/>
        <w:jc w:val="both"/>
      </w:pPr>
      <w:r>
        <w:rPr>
          <w:rFonts w:ascii="Times New Roman" w:hAnsi="Times New Roman"/>
          <w:sz w:val="24"/>
        </w:rPr>
        <w:t>In enterprise full-stack development, software modules exhibit complex directional dependencies. AutoDev models system components as a finite Directed Acyclic Graph $G = (V, E)$, where each vertex $v ∈ V$ represents a cohesive architectural component (such as an authentication provider, database ORM layer, REST controller, or frontend dashboard) and each directed edge $(u, v) ∈ E$ denotes that component $v$ strictly depends on the exported interface contracts or generated artifacts of component $u$.</w:t>
      </w:r>
    </w:p>
    <w:p>
      <w:pPr>
        <w:spacing w:line="360" w:lineRule="auto" w:after="120"/>
        <w:jc w:val="both"/>
      </w:pPr>
      <w:r>
        <w:rPr>
          <w:rFonts w:ascii="Times New Roman" w:hAnsi="Times New Roman"/>
          <w:sz w:val="24"/>
        </w:rPr>
        <w:t>To maximize parallel execution throughput while guaranteeing that no component is synthesized before its prerequisite dependencies are established, the scheduling engine executes Kahn’s Topological Sort Algorithm. The scheduling invariant is formalized through vertex in-degree calculation: for each vertex $v ∈ V$, the in-degree is defined as $deg⁻(v) = |\{u ∈ V : (u, v) ∈ E\}|$. The scheduler maintains an active execution queue $Q = \{v ∈ V : deg⁻(v) = 0\}$. All vertices in $Q$ are dispatched concurrently to the CodeGen worker pool. Upon the successful verification and artifact commit of component $u$, the scheduler removes $u$ from the graph and updates the in-degrees of all adjacent successors: $for each vertex v such that (u, v) ∈ E, deg⁻(v) ← deg⁻(v) - 1$. Any successor reaching $deg⁻(v) = 0$ is immediately enqueued into $Q$, enabling dynamic, cascade-driven concurrency.</w:t>
      </w:r>
    </w:p>
    <w:p>
      <w:pPr>
        <w:spacing w:line="360" w:lineRule="auto" w:after="120"/>
        <w:jc w:val="both"/>
      </w:pPr>
      <w:r>
        <w:rPr>
          <w:rFonts w:ascii="Times New Roman" w:hAnsi="Times New Roman"/>
          <w:sz w:val="24"/>
        </w:rPr>
        <w:t>A critical failure mode in generative architectural decomposition is the accidental introduction of circular dependencies (e.g., $A → B → C → A$). In a standard topological scheduler, cycles cause an immediate deadlock: no vertex within the cycle can ever achieve an in-degree of zero, causing the entire pipeline to freeze indefinitely. To mathematically prevent this failure, AutoDev incorporates Tarjan’s Strongly Connected Components (SCC) Algorithm prior to queue dispatch. Tarjan’s algorithm traverses the graph in linear time $O(|V| + |E|)$ using depth-first search (DFS), maintaining two integer arrays for each vertex $u$: the discovery timestamp $dfn[u]$ and the lowest reachable discovery timestamp $low[u]$. Vertices are pushed onto an execution stack $S$. When $dfn[u] = low[u]$, the algorithm pops all vertices in the subtree from $S$, identifying a maximal strongly connected subgraph. If an SCC contains more than one vertex, a circular deadlock is detected. AutoDev’s scheduler resolves the cycle automatically by executing an interface decoupling transformation, inserting an asynchronous pub/sub event bus or synthesizing the cyclic vertices as an atomic composite module. Fig 4.2 details the DAG scheduling and cycle resolution flowchart.</w:t>
      </w:r>
    </w:p>
    <w:p>
      <w:pPr>
        <w:spacing w:before="240" w:after="80"/>
        <w:jc w:val="center"/>
      </w:pPr>
      <w:r>
        <w:drawing>
          <wp:inline xmlns:a="http://schemas.openxmlformats.org/drawingml/2006/main" xmlns:pic="http://schemas.openxmlformats.org/drawingml/2006/picture">
            <wp:extent cx="5303520" cy="2590246"/>
            <wp:docPr id="2" name="Picture 2"/>
            <wp:cNvGraphicFramePr>
              <a:graphicFrameLocks noChangeAspect="1"/>
            </wp:cNvGraphicFramePr>
            <a:graphic>
              <a:graphicData uri="http://schemas.openxmlformats.org/drawingml/2006/picture">
                <pic:pic>
                  <pic:nvPicPr>
                    <pic:cNvPr id="0" name="fig4_2_dag_scheduler_flow.png"/>
                    <pic:cNvPicPr/>
                  </pic:nvPicPr>
                  <pic:blipFill>
                    <a:blip r:embed="rId12"/>
                    <a:stretch>
                      <a:fillRect/>
                    </a:stretch>
                  </pic:blipFill>
                  <pic:spPr>
                    <a:xfrm>
                      <a:off x="0" y="0"/>
                      <a:ext cx="5303520" cy="2590246"/>
                    </a:xfrm>
                    <a:prstGeom prst="rect"/>
                  </pic:spPr>
                </pic:pic>
              </a:graphicData>
            </a:graphic>
          </wp:inline>
        </w:drawing>
      </w:r>
    </w:p>
    <w:p>
      <w:pPr>
        <w:keepNext/>
        <w:spacing w:before="40" w:after="280"/>
        <w:jc w:val="center"/>
      </w:pPr>
      <w:r>
        <w:rPr>
          <w:rFonts w:ascii="Times New Roman" w:hAnsi="Times New Roman"/>
          <w:b/>
          <w:i/>
          <w:sz w:val="21"/>
        </w:rPr>
        <w:t>Fig 4.2: Component Dependency Graph Scheduling &amp; Tarjan SCC Cycle Resolution Flowchart</w:t>
      </w:r>
    </w:p>
    <w:p>
      <w:pPr>
        <w:keepNext/>
        <w:spacing w:before="360" w:after="120"/>
      </w:pPr>
      <w:r>
        <w:rPr>
          <w:rFonts w:ascii="Times New Roman" w:hAnsi="Times New Roman"/>
          <w:b/>
          <w:sz w:val="28"/>
        </w:rPr>
        <w:t>4.3 Concurrency Control: Lease-Backed Mutexes &amp; Monotonic Epoch Fencing</w:t>
      </w:r>
    </w:p>
    <w:p>
      <w:pPr>
        <w:spacing w:line="360" w:lineRule="auto" w:after="120"/>
        <w:jc w:val="both"/>
      </w:pPr>
      <w:r>
        <w:rPr>
          <w:rFonts w:ascii="Times New Roman" w:hAnsi="Times New Roman"/>
          <w:sz w:val="24"/>
        </w:rPr>
        <w:t>When multiple CodeGen and Critic agents operate concurrently on shared repository files, distributed concurrency hazards inevitably emerge. Specifically, parallel agents risk generating race conditions on shared configuration manifests (such as root `package.json`, `.env` environment variables, or Docker compose definitions). Furthermore, varying LLM response latencies introduce the "Zombie Agent" problem, wherein a lagging agent from an earlier execution phase commits an obsolete code version over a newer, verified self-healing patch.</w:t>
      </w:r>
    </w:p>
    <w:p>
      <w:pPr>
        <w:spacing w:line="360" w:lineRule="auto" w:after="120"/>
        <w:jc w:val="both"/>
      </w:pPr>
      <w:r>
        <w:rPr>
          <w:rFonts w:ascii="Times New Roman" w:hAnsi="Times New Roman"/>
          <w:sz w:val="24"/>
        </w:rPr>
        <w:t>To provide mathematical guarantees of correctness, AutoDev eliminates Coffman’s four classic deadlock conditions simultaneously: (1) Mutual Exclusion is enforced via granular stage mutexes; (2) Hold-and-Wait is eliminated through atomic, all-or-nothing two-phase lock acquisition; (3) No-Preemption is resolved by attaching time-bounded leases (default TTL: 120 seconds) with automated eviction upon agent failure; and (4) Circular Wait is eliminated by imposing a strict canonical total ordering over all resource locks based on lexicographical URI sorting.</w:t>
      </w:r>
    </w:p>
    <w:p>
      <w:pPr>
        <w:spacing w:line="360" w:lineRule="auto" w:after="120"/>
        <w:jc w:val="both"/>
      </w:pPr>
      <w:r>
        <w:rPr>
          <w:rFonts w:ascii="Times New Roman" w:hAnsi="Times New Roman"/>
          <w:sz w:val="24"/>
        </w:rPr>
        <w:t>To solve the zombie agent problem and guarantee serializable state mutations, AutoDev implements Martin Kleppmann’s distributed consensus concept of Monotonic Epoch Fencing Tokens. Every state transition increments a global 64-bit atomic integer $τ_epoch$. When an agent acquires a mutex lease, it is issued a fencing token containing the current epoch $τ_agent$. When the agent attempts to commit an artifact or release its lease, the storage controller validates the condition: $τ_agent == τ_current$. If an intervening stage transition or self-healing patch has incremented the global epoch ($τ_agent &lt; τ_current$), the write operation is atomically rejected with an `EPOCH_STALE` error code, completely preventing stale writes from corrupting the repository state. Fig 4.3 illustrates the concurrency control lifecycle, and Table 4.1 formalizes the protocol phases.</w:t>
      </w:r>
    </w:p>
    <w:p>
      <w:pPr>
        <w:spacing w:before="240" w:after="80"/>
        <w:jc w:val="center"/>
      </w:pPr>
      <w:r>
        <w:drawing>
          <wp:inline xmlns:a="http://schemas.openxmlformats.org/drawingml/2006/main" xmlns:pic="http://schemas.openxmlformats.org/drawingml/2006/picture">
            <wp:extent cx="5303520" cy="3519229"/>
            <wp:docPr id="3" name="Picture 3"/>
            <wp:cNvGraphicFramePr>
              <a:graphicFrameLocks noChangeAspect="1"/>
            </wp:cNvGraphicFramePr>
            <a:graphic>
              <a:graphicData uri="http://schemas.openxmlformats.org/drawingml/2006/picture">
                <pic:pic>
                  <pic:nvPicPr>
                    <pic:cNvPr id="0" name="fig4_1_system_architecture.png"/>
                    <pic:cNvPicPr/>
                  </pic:nvPicPr>
                  <pic:blipFill>
                    <a:blip r:embed="rId11"/>
                    <a:stretch>
                      <a:fillRect/>
                    </a:stretch>
                  </pic:blipFill>
                  <pic:spPr>
                    <a:xfrm>
                      <a:off x="0" y="0"/>
                      <a:ext cx="5303520" cy="3519229"/>
                    </a:xfrm>
                    <a:prstGeom prst="rect"/>
                  </pic:spPr>
                </pic:pic>
              </a:graphicData>
            </a:graphic>
          </wp:inline>
        </w:drawing>
      </w:r>
    </w:p>
    <w:p>
      <w:pPr>
        <w:keepNext/>
        <w:spacing w:before="40" w:after="280"/>
        <w:jc w:val="center"/>
      </w:pPr>
      <w:r>
        <w:rPr>
          <w:rFonts w:ascii="Times New Roman" w:hAnsi="Times New Roman"/>
          <w:b/>
          <w:i/>
          <w:sz w:val="21"/>
        </w:rPr>
        <w:t>Fig 4.3: Concurrency Control Lifecycle with Lease-Backed Mutexes and Monotonic Epoch Fencing</w:t>
      </w:r>
    </w:p>
    <w:p>
      <w:pPr>
        <w:keepNext/>
        <w:spacing w:before="280" w:after="120"/>
        <w:jc w:val="center"/>
      </w:pPr>
      <w:r>
        <w:rPr>
          <w:rFonts w:ascii="Times New Roman" w:hAnsi="Times New Roman"/>
          <w:b/>
          <w:sz w:val="22"/>
        </w:rPr>
        <w:t>Table 4.1: Formal Mutex Acquisition and Monotonic Epoch Fencing Protocols</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2257"/>
        <w:gridCol w:w="2257"/>
        <w:gridCol w:w="2257"/>
        <w:gridCol w:w="2257"/>
      </w:tblGrid>
      <w:tr>
        <w:trPr>
          <w:cantSplit/>
          <w:tblHeader/>
        </w:trPr>
        <w:tc>
          <w:tcPr>
            <w:tcW w:type="dxa" w:w="2016"/>
            <w:shd w:fill="F2F4F7"/>
            <w:tcMar>
              <w:top w:w="60" w:type="dxa"/>
              <w:bottom w:w="60" w:type="dxa"/>
              <w:left w:w="70" w:type="dxa"/>
              <w:right w:w="70" w:type="dxa"/>
            </w:tcMar>
            <w:vAlign w:val="center"/>
          </w:tcPr>
          <w:p>
            <w:pPr>
              <w:spacing w:before="0" w:after="0"/>
              <w:jc w:val="left"/>
            </w:pPr>
            <w:r>
              <w:rPr>
                <w:rFonts w:ascii="Times New Roman" w:hAnsi="Times New Roman"/>
                <w:b/>
                <w:sz w:val="19"/>
              </w:rPr>
              <w:t>Protocol Phase</w:t>
            </w:r>
          </w:p>
        </w:tc>
        <w:tc>
          <w:tcPr>
            <w:tcW w:type="dxa" w:w="2448"/>
            <w:shd w:fill="F2F4F7"/>
            <w:tcMar>
              <w:top w:w="60" w:type="dxa"/>
              <w:bottom w:w="60" w:type="dxa"/>
              <w:left w:w="70" w:type="dxa"/>
              <w:right w:w="70" w:type="dxa"/>
            </w:tcMar>
            <w:vAlign w:val="center"/>
          </w:tcPr>
          <w:p>
            <w:pPr>
              <w:spacing w:before="0" w:after="0"/>
              <w:jc w:val="center"/>
            </w:pPr>
            <w:r>
              <w:rPr>
                <w:rFonts w:ascii="Times New Roman" w:hAnsi="Times New Roman"/>
                <w:b/>
                <w:sz w:val="19"/>
              </w:rPr>
              <w:t>Mathematical / Algorithmic Invariant</w:t>
            </w:r>
          </w:p>
        </w:tc>
        <w:tc>
          <w:tcPr>
            <w:tcW w:type="dxa" w:w="2448"/>
            <w:shd w:fill="F2F4F7"/>
            <w:tcMar>
              <w:top w:w="60" w:type="dxa"/>
              <w:bottom w:w="60" w:type="dxa"/>
              <w:left w:w="70" w:type="dxa"/>
              <w:right w:w="70" w:type="dxa"/>
            </w:tcMar>
            <w:vAlign w:val="center"/>
          </w:tcPr>
          <w:p>
            <w:pPr>
              <w:spacing w:before="0" w:after="0"/>
              <w:jc w:val="center"/>
            </w:pPr>
            <w:r>
              <w:rPr>
                <w:rFonts w:ascii="Times New Roman" w:hAnsi="Times New Roman"/>
                <w:b/>
                <w:sz w:val="19"/>
              </w:rPr>
              <w:t>Deadlock / Race Mitigation Mechanism</w:t>
            </w:r>
          </w:p>
        </w:tc>
        <w:tc>
          <w:tcPr>
            <w:tcW w:type="dxa" w:w="2117"/>
            <w:shd w:fill="F2F4F7"/>
            <w:tcMar>
              <w:top w:w="60" w:type="dxa"/>
              <w:bottom w:w="60" w:type="dxa"/>
              <w:left w:w="70" w:type="dxa"/>
              <w:right w:w="70" w:type="dxa"/>
            </w:tcMar>
            <w:vAlign w:val="center"/>
          </w:tcPr>
          <w:p>
            <w:pPr>
              <w:spacing w:before="0" w:after="0"/>
              <w:jc w:val="center"/>
            </w:pPr>
            <w:r>
              <w:rPr>
                <w:rFonts w:ascii="Times New Roman" w:hAnsi="Times New Roman"/>
                <w:b/>
                <w:sz w:val="19"/>
              </w:rPr>
              <w:t>System Action on Violation</w:t>
            </w:r>
          </w:p>
        </w:tc>
      </w:tr>
      <w:tr>
        <w:trPr>
          <w:cantSplit/>
        </w:trPr>
        <w:tc>
          <w:tcPr>
            <w:tcW w:type="dxa" w:w="2016"/>
            <w:tcMar>
              <w:top w:w="45" w:type="dxa"/>
              <w:bottom w:w="45" w:type="dxa"/>
              <w:left w:w="60" w:type="dxa"/>
              <w:right w:w="60" w:type="dxa"/>
            </w:tcMar>
            <w:vAlign w:val="center"/>
          </w:tcPr>
          <w:p>
            <w:pPr>
              <w:spacing w:before="0" w:after="0" w:line="276" w:lineRule="auto"/>
              <w:jc w:val="center"/>
            </w:pPr>
            <w:r>
              <w:rPr>
                <w:rFonts w:ascii="Times New Roman" w:hAnsi="Times New Roman"/>
                <w:b/>
                <w:sz w:val="18"/>
              </w:rPr>
              <w:t>Phase 1: Canonical Lock Ordering</w:t>
            </w:r>
          </w:p>
        </w:tc>
        <w:tc>
          <w:tcPr>
            <w:tcW w:type="dxa" w:w="2448"/>
            <w:tcMar>
              <w:top w:w="45" w:type="dxa"/>
              <w:bottom w:w="45" w:type="dxa"/>
              <w:left w:w="60" w:type="dxa"/>
              <w:right w:w="60" w:type="dxa"/>
            </w:tcMar>
            <w:vAlign w:val="center"/>
          </w:tcPr>
          <w:p>
            <w:pPr>
              <w:spacing w:before="0" w:after="0" w:line="276" w:lineRule="auto"/>
              <w:jc w:val="left"/>
            </w:pPr>
            <w:r>
              <w:rPr>
                <w:rFonts w:ascii="Times New Roman" w:hAnsi="Times New Roman"/>
                <w:sz w:val="18"/>
              </w:rPr>
              <w:t>Total order $L_1 &lt; L_2 &lt; \dots &lt; L_k$ based on lexicographical URI hash.</w:t>
            </w:r>
          </w:p>
        </w:tc>
        <w:tc>
          <w:tcPr>
            <w:tcW w:type="dxa" w:w="2448"/>
            <w:tcMar>
              <w:top w:w="45" w:type="dxa"/>
              <w:bottom w:w="45" w:type="dxa"/>
              <w:left w:w="60" w:type="dxa"/>
              <w:right w:w="60" w:type="dxa"/>
            </w:tcMar>
            <w:vAlign w:val="center"/>
          </w:tcPr>
          <w:p>
            <w:pPr>
              <w:spacing w:before="0" w:after="0" w:line="276" w:lineRule="auto"/>
              <w:jc w:val="left"/>
            </w:pPr>
            <w:r>
              <w:rPr>
                <w:rFonts w:ascii="Times New Roman" w:hAnsi="Times New Roman"/>
                <w:sz w:val="18"/>
              </w:rPr>
              <w:t>Eliminates Coffman Circular Wait condition across all parallel workers.</w:t>
            </w:r>
          </w:p>
        </w:tc>
        <w:tc>
          <w:tcPr>
            <w:tcW w:type="dxa" w:w="2117"/>
            <w:tcMar>
              <w:top w:w="45" w:type="dxa"/>
              <w:bottom w:w="45" w:type="dxa"/>
              <w:left w:w="60" w:type="dxa"/>
              <w:right w:w="60" w:type="dxa"/>
            </w:tcMar>
            <w:vAlign w:val="center"/>
          </w:tcPr>
          <w:p>
            <w:pPr>
              <w:spacing w:before="0" w:after="0" w:line="276" w:lineRule="auto"/>
              <w:jc w:val="left"/>
            </w:pPr>
            <w:r>
              <w:rPr>
                <w:rFonts w:ascii="Times New Roman" w:hAnsi="Times New Roman"/>
                <w:sz w:val="18"/>
              </w:rPr>
              <w:t>Immediate rejection of out-of-order acquisition requests (`EINVAL_ORDER`).</w:t>
            </w:r>
          </w:p>
        </w:tc>
      </w:tr>
      <w:tr>
        <w:trPr>
          <w:cantSplit/>
        </w:trPr>
        <w:tc>
          <w:tcPr>
            <w:tcW w:type="dxa" w:w="2016"/>
            <w:tcMar>
              <w:top w:w="45" w:type="dxa"/>
              <w:bottom w:w="45" w:type="dxa"/>
              <w:left w:w="60" w:type="dxa"/>
              <w:right w:w="60" w:type="dxa"/>
            </w:tcMar>
            <w:vAlign w:val="center"/>
          </w:tcPr>
          <w:p>
            <w:pPr>
              <w:spacing w:before="0" w:after="0" w:line="276" w:lineRule="auto"/>
              <w:jc w:val="center"/>
            </w:pPr>
            <w:r>
              <w:rPr>
                <w:rFonts w:ascii="Times New Roman" w:hAnsi="Times New Roman"/>
                <w:b/>
                <w:sz w:val="18"/>
              </w:rPr>
              <w:t>Phase 2: Atomic Two-Phase Acquisition</w:t>
            </w:r>
          </w:p>
        </w:tc>
        <w:tc>
          <w:tcPr>
            <w:tcW w:type="dxa" w:w="2448"/>
            <w:tcMar>
              <w:top w:w="45" w:type="dxa"/>
              <w:bottom w:w="45" w:type="dxa"/>
              <w:left w:w="60" w:type="dxa"/>
              <w:right w:w="60" w:type="dxa"/>
            </w:tcMar>
            <w:vAlign w:val="center"/>
          </w:tcPr>
          <w:p>
            <w:pPr>
              <w:spacing w:before="0" w:after="0" w:line="276" w:lineRule="auto"/>
              <w:jc w:val="left"/>
            </w:pPr>
            <w:r>
              <w:rPr>
                <w:rFonts w:ascii="Times New Roman" w:hAnsi="Times New Roman"/>
                <w:sz w:val="18"/>
              </w:rPr>
              <w:t>All required locks $L_req$ acquired simultaneously or none.</w:t>
            </w:r>
          </w:p>
        </w:tc>
        <w:tc>
          <w:tcPr>
            <w:tcW w:type="dxa" w:w="2448"/>
            <w:tcMar>
              <w:top w:w="45" w:type="dxa"/>
              <w:bottom w:w="45" w:type="dxa"/>
              <w:left w:w="60" w:type="dxa"/>
              <w:right w:w="60" w:type="dxa"/>
            </w:tcMar>
            <w:vAlign w:val="center"/>
          </w:tcPr>
          <w:p>
            <w:pPr>
              <w:spacing w:before="0" w:after="0" w:line="276" w:lineRule="auto"/>
              <w:jc w:val="left"/>
            </w:pPr>
            <w:r>
              <w:rPr>
                <w:rFonts w:ascii="Times New Roman" w:hAnsi="Times New Roman"/>
                <w:sz w:val="18"/>
              </w:rPr>
              <w:t>Eliminates Coffman Hold-and-Wait condition during multi-file synthesis.</w:t>
            </w:r>
          </w:p>
        </w:tc>
        <w:tc>
          <w:tcPr>
            <w:tcW w:type="dxa" w:w="2117"/>
            <w:tcMar>
              <w:top w:w="45" w:type="dxa"/>
              <w:bottom w:w="45" w:type="dxa"/>
              <w:left w:w="60" w:type="dxa"/>
              <w:right w:w="60" w:type="dxa"/>
            </w:tcMar>
            <w:vAlign w:val="center"/>
          </w:tcPr>
          <w:p>
            <w:pPr>
              <w:spacing w:before="0" w:after="0" w:line="276" w:lineRule="auto"/>
              <w:jc w:val="left"/>
            </w:pPr>
            <w:r>
              <w:rPr>
                <w:rFonts w:ascii="Times New Roman" w:hAnsi="Times New Roman"/>
                <w:sz w:val="18"/>
              </w:rPr>
              <w:t>Rollback of partially acquired mutexes with exponential backoff jitter.</w:t>
            </w:r>
          </w:p>
        </w:tc>
      </w:tr>
      <w:tr>
        <w:trPr>
          <w:cantSplit/>
        </w:trPr>
        <w:tc>
          <w:tcPr>
            <w:tcW w:type="dxa" w:w="2016"/>
            <w:tcMar>
              <w:top w:w="45" w:type="dxa"/>
              <w:bottom w:w="45" w:type="dxa"/>
              <w:left w:w="60" w:type="dxa"/>
              <w:right w:w="60" w:type="dxa"/>
            </w:tcMar>
            <w:vAlign w:val="center"/>
          </w:tcPr>
          <w:p>
            <w:pPr>
              <w:spacing w:before="0" w:after="0" w:line="276" w:lineRule="auto"/>
              <w:jc w:val="center"/>
            </w:pPr>
            <w:r>
              <w:rPr>
                <w:rFonts w:ascii="Times New Roman" w:hAnsi="Times New Roman"/>
                <w:b/>
                <w:sz w:val="18"/>
              </w:rPr>
              <w:t>Phase 3: Lease Expiration &amp; Preemption</w:t>
            </w:r>
          </w:p>
        </w:tc>
        <w:tc>
          <w:tcPr>
            <w:tcW w:type="dxa" w:w="2448"/>
            <w:tcMar>
              <w:top w:w="45" w:type="dxa"/>
              <w:bottom w:w="45" w:type="dxa"/>
              <w:left w:w="60" w:type="dxa"/>
              <w:right w:w="60" w:type="dxa"/>
            </w:tcMar>
            <w:vAlign w:val="center"/>
          </w:tcPr>
          <w:p>
            <w:pPr>
              <w:spacing w:before="0" w:after="0" w:line="276" w:lineRule="auto"/>
              <w:jc w:val="left"/>
            </w:pPr>
            <w:r>
              <w:rPr>
                <w:rFonts w:ascii="Times New Roman" w:hAnsi="Times New Roman"/>
                <w:sz w:val="18"/>
              </w:rPr>
              <w:t>Lease valid for $Δ t_{lease} ≤ 120s$; heartbeat renewal required.</w:t>
            </w:r>
          </w:p>
        </w:tc>
        <w:tc>
          <w:tcPr>
            <w:tcW w:type="dxa" w:w="2448"/>
            <w:tcMar>
              <w:top w:w="45" w:type="dxa"/>
              <w:bottom w:w="45" w:type="dxa"/>
              <w:left w:w="60" w:type="dxa"/>
              <w:right w:w="60" w:type="dxa"/>
            </w:tcMar>
            <w:vAlign w:val="center"/>
          </w:tcPr>
          <w:p>
            <w:pPr>
              <w:spacing w:before="0" w:after="0" w:line="276" w:lineRule="auto"/>
              <w:jc w:val="left"/>
            </w:pPr>
            <w:r>
              <w:rPr>
                <w:rFonts w:ascii="Times New Roman" w:hAnsi="Times New Roman"/>
                <w:sz w:val="18"/>
              </w:rPr>
              <w:t>Mitigates Coffman No-Preemption condition in case of crashed or frozen agents.</w:t>
            </w:r>
          </w:p>
        </w:tc>
        <w:tc>
          <w:tcPr>
            <w:tcW w:type="dxa" w:w="2117"/>
            <w:tcMar>
              <w:top w:w="45" w:type="dxa"/>
              <w:bottom w:w="45" w:type="dxa"/>
              <w:left w:w="60" w:type="dxa"/>
              <w:right w:w="60" w:type="dxa"/>
            </w:tcMar>
            <w:vAlign w:val="center"/>
          </w:tcPr>
          <w:p>
            <w:pPr>
              <w:spacing w:before="0" w:after="0" w:line="276" w:lineRule="auto"/>
              <w:jc w:val="left"/>
            </w:pPr>
            <w:r>
              <w:rPr>
                <w:rFonts w:ascii="Times New Roman" w:hAnsi="Times New Roman"/>
                <w:sz w:val="18"/>
              </w:rPr>
              <w:t>Automatic lock eviction upon TTL expiry, emitting audit alert to SSE stream.</w:t>
            </w:r>
          </w:p>
        </w:tc>
      </w:tr>
      <w:tr>
        <w:trPr>
          <w:cantSplit/>
        </w:trPr>
        <w:tc>
          <w:tcPr>
            <w:tcW w:type="dxa" w:w="2016"/>
            <w:tcMar>
              <w:top w:w="45" w:type="dxa"/>
              <w:bottom w:w="45" w:type="dxa"/>
              <w:left w:w="60" w:type="dxa"/>
              <w:right w:w="60" w:type="dxa"/>
            </w:tcMar>
            <w:vAlign w:val="center"/>
          </w:tcPr>
          <w:p>
            <w:pPr>
              <w:spacing w:before="0" w:after="0" w:line="276" w:lineRule="auto"/>
              <w:jc w:val="center"/>
            </w:pPr>
            <w:r>
              <w:rPr>
                <w:rFonts w:ascii="Times New Roman" w:hAnsi="Times New Roman"/>
                <w:b/>
                <w:sz w:val="18"/>
              </w:rPr>
              <w:t>Phase 4: Monotonic Epoch Fencing</w:t>
            </w:r>
          </w:p>
        </w:tc>
        <w:tc>
          <w:tcPr>
            <w:tcW w:type="dxa" w:w="2448"/>
            <w:tcMar>
              <w:top w:w="45" w:type="dxa"/>
              <w:bottom w:w="45" w:type="dxa"/>
              <w:left w:w="60" w:type="dxa"/>
              <w:right w:w="60" w:type="dxa"/>
            </w:tcMar>
            <w:vAlign w:val="center"/>
          </w:tcPr>
          <w:p>
            <w:pPr>
              <w:spacing w:before="0" w:after="0" w:line="276" w:lineRule="auto"/>
              <w:jc w:val="left"/>
            </w:pPr>
            <w:r>
              <w:rPr>
                <w:rFonts w:ascii="Times New Roman" w:hAnsi="Times New Roman"/>
                <w:sz w:val="18"/>
              </w:rPr>
              <w:t>Artifact commit valid iff $τ_agent == τ_current$ ($τ ∈ N$).</w:t>
            </w:r>
          </w:p>
        </w:tc>
        <w:tc>
          <w:tcPr>
            <w:tcW w:type="dxa" w:w="2448"/>
            <w:tcMar>
              <w:top w:w="45" w:type="dxa"/>
              <w:bottom w:w="45" w:type="dxa"/>
              <w:left w:w="60" w:type="dxa"/>
              <w:right w:w="60" w:type="dxa"/>
            </w:tcMar>
            <w:vAlign w:val="center"/>
          </w:tcPr>
          <w:p>
            <w:pPr>
              <w:spacing w:before="0" w:after="0" w:line="276" w:lineRule="auto"/>
              <w:jc w:val="left"/>
            </w:pPr>
            <w:r>
              <w:rPr>
                <w:rFonts w:ascii="Times New Roman" w:hAnsi="Times New Roman"/>
                <w:sz w:val="18"/>
              </w:rPr>
              <w:t>Prevents Zombie Agent race conditions and stale overwrites on patched files.</w:t>
            </w:r>
          </w:p>
        </w:tc>
        <w:tc>
          <w:tcPr>
            <w:tcW w:type="dxa" w:w="2117"/>
            <w:tcMar>
              <w:top w:w="45" w:type="dxa"/>
              <w:bottom w:w="45" w:type="dxa"/>
              <w:left w:w="60" w:type="dxa"/>
              <w:right w:w="60" w:type="dxa"/>
            </w:tcMar>
            <w:vAlign w:val="center"/>
          </w:tcPr>
          <w:p>
            <w:pPr>
              <w:spacing w:before="0" w:after="0" w:line="276" w:lineRule="auto"/>
              <w:jc w:val="left"/>
            </w:pPr>
            <w:r>
              <w:rPr>
                <w:rFonts w:ascii="Times New Roman" w:hAnsi="Times New Roman"/>
                <w:sz w:val="18"/>
              </w:rPr>
              <w:t>Atomic write rejection (`FENCE_STALE`); agent task aborted and discarded.</w:t>
            </w:r>
          </w:p>
        </w:tc>
      </w:tr>
    </w:tbl>
    <w:p>
      <w:pPr>
        <w:keepNext/>
        <w:spacing w:before="360" w:after="120"/>
      </w:pPr>
      <w:r>
        <w:rPr>
          <w:rFonts w:ascii="Times New Roman" w:hAnsi="Times New Roman"/>
          <w:b/>
          <w:sz w:val="28"/>
        </w:rPr>
        <w:t>4.4 Dynamic Multi-Pool Smart API Key Balancer &amp; Chi-Square Fair Distribution</w:t>
      </w:r>
    </w:p>
    <w:p>
      <w:pPr>
        <w:spacing w:line="360" w:lineRule="auto" w:after="120"/>
        <w:jc w:val="both"/>
      </w:pPr>
      <w:r>
        <w:rPr>
          <w:rFonts w:ascii="Times New Roman" w:hAnsi="Times New Roman"/>
          <w:sz w:val="24"/>
        </w:rPr>
        <w:t>Autonomous full-stack synthesis requires significant prompt and completion token throughput. Operating against commercial inference APIs exposes the pipeline to severe operational risks: rate limiting (HTTP 429), quota exhaustion, and provider outages. To guarantee uninterrupted execution, AutoDev incorporates a dynamic Multi-Pool Smart API Key Balancer that manages heterogeneous provider pools organized into hierarchical tiers (Tier 1: OpenAI GPT-4o, Anthropic Claude 3.5 Sonnet; Tier 2: Google Gemini 1.5 Pro / Flash; Tier 3: Groq Llama-3.3-70B; Tier 4: Local Ollama).</w:t>
      </w:r>
    </w:p>
    <w:p>
      <w:pPr>
        <w:spacing w:line="360" w:lineRule="auto" w:after="120"/>
        <w:jc w:val="both"/>
      </w:pPr>
      <w:r>
        <w:rPr>
          <w:rFonts w:ascii="Times New Roman" w:hAnsi="Times New Roman"/>
          <w:sz w:val="24"/>
        </w:rPr>
        <w:t>The balancer tracks an active health index $H_k ∈ [0.0, 1.0]$ for each configured key $k$. Upon successful API completion, health is maintained at $H_k = 1.0$. If a key encounters rate-limiting (HTTP 429) or socket timeouts, a dynamic penalty $Δ H = 0.40$ is applied, and the key enters an exponential backoff cooldown state. The cooldown duration scales exponentially: $T_{cooldown} = T_{base} × 2^{retry_count} + U(0, J)$, where $T_{base} = 5.0s$ and $U(0, J)$ represents uniform random jitter ($J = 2.0s$) to prevent synchronized retry thundering herds. While in cooldown, a key is excluded from selection. A background decay worker restores health asymptotically: $H_k(t) = 1.0 - (1.0 - H_{k,0}) e^{-λ t}$, where $λ = 0.05s^{-1}$.</w:t>
      </w:r>
    </w:p>
    <w:p>
      <w:pPr>
        <w:spacing w:line="360" w:lineRule="auto" w:after="120"/>
        <w:jc w:val="both"/>
      </w:pPr>
      <w:r>
        <w:rPr>
          <w:rFonts w:ascii="Times New Roman" w:hAnsi="Times New Roman"/>
          <w:sz w:val="24"/>
        </w:rPr>
        <w:t>To ensure fair load distribution across healthy keys and prevent premature exhaustion of individual quotas, AutoDev validates key dispatch using the Chi-Square (χ²) Goodness-of-Fit test. For a pool of $k$ keys with expected allocation frequencies $E_i$ based on tier weights, the observed dispatch counts $O_i$ must satisfy: $χ² = ∑(i=1 to k) [(O_i - E_i)² / E_i] &lt; χ²_crit$. If the statistic exceeds critical bounds, the balancer dynamically re-weights selection probabilities. Fig 4.4 illustrates the balancer state machine, and Table 4.2 presents empirical Chi-Square distribution metrics over 1,000 synthetic test dispatches.</w:t>
      </w:r>
    </w:p>
    <w:p>
      <w:pPr>
        <w:spacing w:before="240" w:after="80"/>
        <w:jc w:val="center"/>
      </w:pPr>
      <w:r>
        <w:drawing>
          <wp:inline xmlns:a="http://schemas.openxmlformats.org/drawingml/2006/main" xmlns:pic="http://schemas.openxmlformats.org/drawingml/2006/picture">
            <wp:extent cx="5303520" cy="2461759"/>
            <wp:docPr id="4" name="Picture 4"/>
            <wp:cNvGraphicFramePr>
              <a:graphicFrameLocks noChangeAspect="1"/>
            </wp:cNvGraphicFramePr>
            <a:graphic>
              <a:graphicData uri="http://schemas.openxmlformats.org/drawingml/2006/picture">
                <pic:pic>
                  <pic:nvPicPr>
                    <pic:cNvPr id="0" name="fig4_4_api_balancer_state_machine.png"/>
                    <pic:cNvPicPr/>
                  </pic:nvPicPr>
                  <pic:blipFill>
                    <a:blip r:embed="rId13"/>
                    <a:stretch>
                      <a:fillRect/>
                    </a:stretch>
                  </pic:blipFill>
                  <pic:spPr>
                    <a:xfrm>
                      <a:off x="0" y="0"/>
                      <a:ext cx="5303520" cy="2461759"/>
                    </a:xfrm>
                    <a:prstGeom prst="rect"/>
                  </pic:spPr>
                </pic:pic>
              </a:graphicData>
            </a:graphic>
          </wp:inline>
        </w:drawing>
      </w:r>
    </w:p>
    <w:p>
      <w:pPr>
        <w:keepNext/>
        <w:spacing w:before="40" w:after="280"/>
        <w:jc w:val="center"/>
      </w:pPr>
      <w:r>
        <w:rPr>
          <w:rFonts w:ascii="Times New Roman" w:hAnsi="Times New Roman"/>
          <w:b/>
          <w:i/>
          <w:sz w:val="21"/>
        </w:rPr>
        <w:t>Fig 4.4: Dynamic Multi-Pool Smart API Key Balancer State Machine &amp; Cooldown Decay</w:t>
      </w:r>
    </w:p>
    <w:p>
      <w:pPr>
        <w:keepNext/>
        <w:spacing w:before="280" w:after="120"/>
        <w:jc w:val="center"/>
      </w:pPr>
      <w:r>
        <w:rPr>
          <w:rFonts w:ascii="Times New Roman" w:hAnsi="Times New Roman"/>
          <w:b/>
          <w:sz w:val="22"/>
        </w:rPr>
        <w:t>Table 4.2: Chi-Square (χ²) Goodness-of-Fit Distribution Across API Provider Pools</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1505"/>
        <w:gridCol w:w="1505"/>
        <w:gridCol w:w="1505"/>
        <w:gridCol w:w="1505"/>
        <w:gridCol w:w="1505"/>
        <w:gridCol w:w="1505"/>
      </w:tblGrid>
      <w:tr>
        <w:trPr>
          <w:cantSplit/>
          <w:tblHeader/>
        </w:trPr>
        <w:tc>
          <w:tcPr>
            <w:tcW w:type="dxa" w:w="1728"/>
            <w:shd w:fill="F2F4F7"/>
            <w:tcMar>
              <w:top w:w="60" w:type="dxa"/>
              <w:bottom w:w="60" w:type="dxa"/>
              <w:left w:w="50" w:type="dxa"/>
              <w:right w:w="50" w:type="dxa"/>
            </w:tcMar>
            <w:vAlign w:val="center"/>
          </w:tcPr>
          <w:p>
            <w:pPr>
              <w:spacing w:before="0" w:after="0"/>
              <w:jc w:val="center"/>
            </w:pPr>
            <w:r>
              <w:rPr>
                <w:rFonts w:ascii="Times New Roman" w:hAnsi="Times New Roman"/>
                <w:b/>
                <w:sz w:val="19"/>
              </w:rPr>
              <w:t>Provider Pool Tier</w:t>
            </w:r>
          </w:p>
        </w:tc>
        <w:tc>
          <w:tcPr>
            <w:tcW w:type="dxa" w:w="1872"/>
            <w:shd w:fill="F2F4F7"/>
            <w:tcMar>
              <w:top w:w="60" w:type="dxa"/>
              <w:bottom w:w="60" w:type="dxa"/>
              <w:left w:w="50" w:type="dxa"/>
              <w:right w:w="50" w:type="dxa"/>
            </w:tcMar>
            <w:vAlign w:val="center"/>
          </w:tcPr>
          <w:p>
            <w:pPr>
              <w:spacing w:before="0" w:after="0"/>
              <w:jc w:val="left"/>
            </w:pPr>
            <w:r>
              <w:rPr>
                <w:rFonts w:ascii="Times New Roman" w:hAnsi="Times New Roman"/>
                <w:b/>
                <w:sz w:val="19"/>
              </w:rPr>
              <w:t>Key Identifier / Alias</w:t>
            </w:r>
          </w:p>
        </w:tc>
        <w:tc>
          <w:tcPr>
            <w:tcW w:type="dxa" w:w="1440"/>
            <w:shd w:fill="F2F4F7"/>
            <w:tcMar>
              <w:top w:w="60" w:type="dxa"/>
              <w:bottom w:w="60" w:type="dxa"/>
              <w:left w:w="50" w:type="dxa"/>
              <w:right w:w="50" w:type="dxa"/>
            </w:tcMar>
            <w:vAlign w:val="center"/>
          </w:tcPr>
          <w:p>
            <w:pPr>
              <w:spacing w:before="0" w:after="0"/>
              <w:jc w:val="center"/>
            </w:pPr>
            <w:r>
              <w:rPr>
                <w:rFonts w:ascii="Times New Roman" w:hAnsi="Times New Roman"/>
                <w:b/>
                <w:sz w:val="19"/>
              </w:rPr>
              <w:t>Expected Ratio ($E_i$)</w:t>
            </w:r>
          </w:p>
        </w:tc>
        <w:tc>
          <w:tcPr>
            <w:tcW w:type="dxa" w:w="1368"/>
            <w:shd w:fill="F2F4F7"/>
            <w:tcMar>
              <w:top w:w="60" w:type="dxa"/>
              <w:bottom w:w="60" w:type="dxa"/>
              <w:left w:w="50" w:type="dxa"/>
              <w:right w:w="50" w:type="dxa"/>
            </w:tcMar>
            <w:vAlign w:val="center"/>
          </w:tcPr>
          <w:p>
            <w:pPr>
              <w:spacing w:before="0" w:after="0"/>
              <w:jc w:val="center"/>
            </w:pPr>
            <w:r>
              <w:rPr>
                <w:rFonts w:ascii="Times New Roman" w:hAnsi="Times New Roman"/>
                <w:b/>
                <w:sz w:val="19"/>
              </w:rPr>
              <w:t>Observed Requests ($O_i$)</w:t>
            </w:r>
          </w:p>
        </w:tc>
        <w:tc>
          <w:tcPr>
            <w:tcW w:type="dxa" w:w="1224"/>
            <w:shd w:fill="F2F4F7"/>
            <w:tcMar>
              <w:top w:w="60" w:type="dxa"/>
              <w:bottom w:w="60" w:type="dxa"/>
              <w:left w:w="50" w:type="dxa"/>
              <w:right w:w="50" w:type="dxa"/>
            </w:tcMar>
            <w:vAlign w:val="center"/>
          </w:tcPr>
          <w:p>
            <w:pPr>
              <w:spacing w:before="0" w:after="0"/>
              <w:jc w:val="center"/>
            </w:pPr>
            <w:r>
              <w:rPr>
                <w:rFonts w:ascii="Times New Roman" w:hAnsi="Times New Roman"/>
                <w:b/>
                <w:sz w:val="19"/>
              </w:rPr>
              <w:t>χ² Contribution</w:t>
            </w:r>
          </w:p>
        </w:tc>
        <w:tc>
          <w:tcPr>
            <w:tcW w:type="dxa" w:w="1397"/>
            <w:shd w:fill="F2F4F7"/>
            <w:tcMar>
              <w:top w:w="60" w:type="dxa"/>
              <w:bottom w:w="60" w:type="dxa"/>
              <w:left w:w="50" w:type="dxa"/>
              <w:right w:w="50" w:type="dxa"/>
            </w:tcMar>
            <w:vAlign w:val="center"/>
          </w:tcPr>
          <w:p>
            <w:pPr>
              <w:spacing w:before="0" w:after="0"/>
              <w:jc w:val="center"/>
            </w:pPr>
            <w:r>
              <w:rPr>
                <w:rFonts w:ascii="Times New Roman" w:hAnsi="Times New Roman"/>
                <w:b/>
                <w:sz w:val="19"/>
              </w:rPr>
              <w:t>Status &amp; Health Index</w:t>
            </w:r>
          </w:p>
        </w:tc>
      </w:tr>
      <w:tr>
        <w:trPr>
          <w:cantSplit/>
        </w:trPr>
        <w:tc>
          <w:tcPr>
            <w:tcW w:type="dxa" w:w="1728"/>
            <w:tcMar>
              <w:top w:w="45" w:type="dxa"/>
              <w:bottom w:w="45" w:type="dxa"/>
              <w:left w:w="50" w:type="dxa"/>
              <w:right w:w="50" w:type="dxa"/>
            </w:tcMar>
            <w:vAlign w:val="center"/>
          </w:tcPr>
          <w:p>
            <w:pPr>
              <w:spacing w:before="0" w:after="0" w:line="276" w:lineRule="auto"/>
              <w:jc w:val="left"/>
            </w:pPr>
            <w:r>
              <w:rPr>
                <w:rFonts w:ascii="Times New Roman" w:hAnsi="Times New Roman"/>
                <w:sz w:val="18"/>
              </w:rPr>
              <w:t>Tier 1: Primary Cloud</w:t>
            </w:r>
          </w:p>
        </w:tc>
        <w:tc>
          <w:tcPr>
            <w:tcW w:type="dxa" w:w="1872"/>
            <w:tcMar>
              <w:top w:w="45" w:type="dxa"/>
              <w:bottom w:w="45" w:type="dxa"/>
              <w:left w:w="50" w:type="dxa"/>
              <w:right w:w="50" w:type="dxa"/>
            </w:tcMar>
            <w:vAlign w:val="center"/>
          </w:tcPr>
          <w:p>
            <w:pPr>
              <w:spacing w:before="0" w:after="0" w:line="276" w:lineRule="auto"/>
              <w:jc w:val="left"/>
            </w:pPr>
            <w:r>
              <w:rPr>
                <w:rFonts w:ascii="Times New Roman" w:hAnsi="Times New Roman"/>
                <w:b/>
                <w:sz w:val="18"/>
              </w:rPr>
              <w:t>OPENAI_KEY_POOL_01</w:t>
            </w:r>
          </w:p>
        </w:tc>
        <w:tc>
          <w:tcPr>
            <w:tcW w:type="dxa" w:w="1440"/>
            <w:tcMar>
              <w:top w:w="45" w:type="dxa"/>
              <w:bottom w:w="45" w:type="dxa"/>
              <w:left w:w="50" w:type="dxa"/>
              <w:right w:w="50" w:type="dxa"/>
            </w:tcMar>
            <w:vAlign w:val="center"/>
          </w:tcPr>
          <w:p>
            <w:pPr>
              <w:spacing w:before="0" w:after="0" w:line="276" w:lineRule="auto"/>
              <w:jc w:val="center"/>
            </w:pPr>
            <w:r>
              <w:rPr>
                <w:rFonts w:ascii="Times New Roman" w:hAnsi="Times New Roman"/>
                <w:sz w:val="18"/>
              </w:rPr>
              <w:t>35.0% (350 reqs)</w:t>
            </w:r>
          </w:p>
        </w:tc>
        <w:tc>
          <w:tcPr>
            <w:tcW w:type="dxa" w:w="1368"/>
            <w:tcMar>
              <w:top w:w="45" w:type="dxa"/>
              <w:bottom w:w="45" w:type="dxa"/>
              <w:left w:w="50" w:type="dxa"/>
              <w:right w:w="50" w:type="dxa"/>
            </w:tcMar>
            <w:vAlign w:val="center"/>
          </w:tcPr>
          <w:p>
            <w:pPr>
              <w:spacing w:before="0" w:after="0" w:line="276" w:lineRule="auto"/>
              <w:jc w:val="center"/>
            </w:pPr>
            <w:r>
              <w:rPr>
                <w:rFonts w:ascii="Times New Roman" w:hAnsi="Times New Roman"/>
                <w:sz w:val="18"/>
              </w:rPr>
              <w:t>344 reqs</w:t>
            </w:r>
          </w:p>
        </w:tc>
        <w:tc>
          <w:tcPr>
            <w:tcW w:type="dxa" w:w="1224"/>
            <w:tcMar>
              <w:top w:w="45" w:type="dxa"/>
              <w:bottom w:w="45" w:type="dxa"/>
              <w:left w:w="50" w:type="dxa"/>
              <w:right w:w="50" w:type="dxa"/>
            </w:tcMar>
            <w:vAlign w:val="center"/>
          </w:tcPr>
          <w:p>
            <w:pPr>
              <w:spacing w:before="0" w:after="0" w:line="276" w:lineRule="auto"/>
              <w:jc w:val="center"/>
            </w:pPr>
            <w:r>
              <w:rPr>
                <w:rFonts w:ascii="Times New Roman" w:hAnsi="Times New Roman"/>
                <w:sz w:val="18"/>
              </w:rPr>
              <w:t>0.103</w:t>
            </w:r>
          </w:p>
        </w:tc>
        <w:tc>
          <w:tcPr>
            <w:tcW w:type="dxa" w:w="1397"/>
            <w:tcMar>
              <w:top w:w="45" w:type="dxa"/>
              <w:bottom w:w="45" w:type="dxa"/>
              <w:left w:w="50" w:type="dxa"/>
              <w:right w:w="50" w:type="dxa"/>
            </w:tcMar>
            <w:vAlign w:val="center"/>
          </w:tcPr>
          <w:p>
            <w:pPr>
              <w:spacing w:before="0" w:after="0" w:line="276" w:lineRule="auto"/>
              <w:jc w:val="center"/>
            </w:pPr>
            <w:r>
              <w:rPr>
                <w:rFonts w:ascii="Times New Roman" w:hAnsi="Times New Roman"/>
                <w:sz w:val="18"/>
              </w:rPr>
              <w:t>Active ($H_k = 0.98$)</w:t>
            </w:r>
          </w:p>
        </w:tc>
      </w:tr>
      <w:tr>
        <w:trPr>
          <w:cantSplit/>
        </w:trPr>
        <w:tc>
          <w:tcPr>
            <w:tcW w:type="dxa" w:w="1728"/>
            <w:tcMar>
              <w:top w:w="45" w:type="dxa"/>
              <w:bottom w:w="45" w:type="dxa"/>
              <w:left w:w="50" w:type="dxa"/>
              <w:right w:w="50" w:type="dxa"/>
            </w:tcMar>
            <w:vAlign w:val="center"/>
          </w:tcPr>
          <w:p>
            <w:pPr>
              <w:spacing w:before="0" w:after="0" w:line="276" w:lineRule="auto"/>
              <w:jc w:val="left"/>
            </w:pPr>
            <w:r>
              <w:rPr>
                <w:rFonts w:ascii="Times New Roman" w:hAnsi="Times New Roman"/>
                <w:sz w:val="18"/>
              </w:rPr>
              <w:t>Tier 1: Primary Cloud</w:t>
            </w:r>
          </w:p>
        </w:tc>
        <w:tc>
          <w:tcPr>
            <w:tcW w:type="dxa" w:w="1872"/>
            <w:tcMar>
              <w:top w:w="45" w:type="dxa"/>
              <w:bottom w:w="45" w:type="dxa"/>
              <w:left w:w="50" w:type="dxa"/>
              <w:right w:w="50" w:type="dxa"/>
            </w:tcMar>
            <w:vAlign w:val="center"/>
          </w:tcPr>
          <w:p>
            <w:pPr>
              <w:spacing w:before="0" w:after="0" w:line="276" w:lineRule="auto"/>
              <w:jc w:val="left"/>
            </w:pPr>
            <w:r>
              <w:rPr>
                <w:rFonts w:ascii="Times New Roman" w:hAnsi="Times New Roman"/>
                <w:b/>
                <w:sz w:val="18"/>
              </w:rPr>
              <w:t>ANTHROPIC_KEY_POOL_01</w:t>
            </w:r>
          </w:p>
        </w:tc>
        <w:tc>
          <w:tcPr>
            <w:tcW w:type="dxa" w:w="1440"/>
            <w:tcMar>
              <w:top w:w="45" w:type="dxa"/>
              <w:bottom w:w="45" w:type="dxa"/>
              <w:left w:w="50" w:type="dxa"/>
              <w:right w:w="50" w:type="dxa"/>
            </w:tcMar>
            <w:vAlign w:val="center"/>
          </w:tcPr>
          <w:p>
            <w:pPr>
              <w:spacing w:before="0" w:after="0" w:line="276" w:lineRule="auto"/>
              <w:jc w:val="center"/>
            </w:pPr>
            <w:r>
              <w:rPr>
                <w:rFonts w:ascii="Times New Roman" w:hAnsi="Times New Roman"/>
                <w:sz w:val="18"/>
              </w:rPr>
              <w:t>30.0% (300 reqs)</w:t>
            </w:r>
          </w:p>
        </w:tc>
        <w:tc>
          <w:tcPr>
            <w:tcW w:type="dxa" w:w="1368"/>
            <w:tcMar>
              <w:top w:w="45" w:type="dxa"/>
              <w:bottom w:w="45" w:type="dxa"/>
              <w:left w:w="50" w:type="dxa"/>
              <w:right w:w="50" w:type="dxa"/>
            </w:tcMar>
            <w:vAlign w:val="center"/>
          </w:tcPr>
          <w:p>
            <w:pPr>
              <w:spacing w:before="0" w:after="0" w:line="276" w:lineRule="auto"/>
              <w:jc w:val="center"/>
            </w:pPr>
            <w:r>
              <w:rPr>
                <w:rFonts w:ascii="Times New Roman" w:hAnsi="Times New Roman"/>
                <w:sz w:val="18"/>
              </w:rPr>
              <w:t>308 reqs</w:t>
            </w:r>
          </w:p>
        </w:tc>
        <w:tc>
          <w:tcPr>
            <w:tcW w:type="dxa" w:w="1224"/>
            <w:tcMar>
              <w:top w:w="45" w:type="dxa"/>
              <w:bottom w:w="45" w:type="dxa"/>
              <w:left w:w="50" w:type="dxa"/>
              <w:right w:w="50" w:type="dxa"/>
            </w:tcMar>
            <w:vAlign w:val="center"/>
          </w:tcPr>
          <w:p>
            <w:pPr>
              <w:spacing w:before="0" w:after="0" w:line="276" w:lineRule="auto"/>
              <w:jc w:val="center"/>
            </w:pPr>
            <w:r>
              <w:rPr>
                <w:rFonts w:ascii="Times New Roman" w:hAnsi="Times New Roman"/>
                <w:sz w:val="18"/>
              </w:rPr>
              <w:t>0.213</w:t>
            </w:r>
          </w:p>
        </w:tc>
        <w:tc>
          <w:tcPr>
            <w:tcW w:type="dxa" w:w="1397"/>
            <w:tcMar>
              <w:top w:w="45" w:type="dxa"/>
              <w:bottom w:w="45" w:type="dxa"/>
              <w:left w:w="50" w:type="dxa"/>
              <w:right w:w="50" w:type="dxa"/>
            </w:tcMar>
            <w:vAlign w:val="center"/>
          </w:tcPr>
          <w:p>
            <w:pPr>
              <w:spacing w:before="0" w:after="0" w:line="276" w:lineRule="auto"/>
              <w:jc w:val="center"/>
            </w:pPr>
            <w:r>
              <w:rPr>
                <w:rFonts w:ascii="Times New Roman" w:hAnsi="Times New Roman"/>
                <w:sz w:val="18"/>
              </w:rPr>
              <w:t>Active ($H_k = 1.00$)</w:t>
            </w:r>
          </w:p>
        </w:tc>
      </w:tr>
      <w:tr>
        <w:trPr>
          <w:cantSplit/>
        </w:trPr>
        <w:tc>
          <w:tcPr>
            <w:tcW w:type="dxa" w:w="1728"/>
            <w:tcMar>
              <w:top w:w="45" w:type="dxa"/>
              <w:bottom w:w="45" w:type="dxa"/>
              <w:left w:w="50" w:type="dxa"/>
              <w:right w:w="50" w:type="dxa"/>
            </w:tcMar>
            <w:vAlign w:val="center"/>
          </w:tcPr>
          <w:p>
            <w:pPr>
              <w:spacing w:before="0" w:after="0" w:line="276" w:lineRule="auto"/>
              <w:jc w:val="left"/>
            </w:pPr>
            <w:r>
              <w:rPr>
                <w:rFonts w:ascii="Times New Roman" w:hAnsi="Times New Roman"/>
                <w:sz w:val="18"/>
              </w:rPr>
              <w:t>Tier 2: Secondary Cloud</w:t>
            </w:r>
          </w:p>
        </w:tc>
        <w:tc>
          <w:tcPr>
            <w:tcW w:type="dxa" w:w="1872"/>
            <w:tcMar>
              <w:top w:w="45" w:type="dxa"/>
              <w:bottom w:w="45" w:type="dxa"/>
              <w:left w:w="50" w:type="dxa"/>
              <w:right w:w="50" w:type="dxa"/>
            </w:tcMar>
            <w:vAlign w:val="center"/>
          </w:tcPr>
          <w:p>
            <w:pPr>
              <w:spacing w:before="0" w:after="0" w:line="276" w:lineRule="auto"/>
              <w:jc w:val="left"/>
            </w:pPr>
            <w:r>
              <w:rPr>
                <w:rFonts w:ascii="Times New Roman" w:hAnsi="Times New Roman"/>
                <w:b/>
                <w:sz w:val="18"/>
              </w:rPr>
              <w:t>GEMINI_PRO_POOL_01</w:t>
            </w:r>
          </w:p>
        </w:tc>
        <w:tc>
          <w:tcPr>
            <w:tcW w:type="dxa" w:w="1440"/>
            <w:tcMar>
              <w:top w:w="45" w:type="dxa"/>
              <w:bottom w:w="45" w:type="dxa"/>
              <w:left w:w="50" w:type="dxa"/>
              <w:right w:w="50" w:type="dxa"/>
            </w:tcMar>
            <w:vAlign w:val="center"/>
          </w:tcPr>
          <w:p>
            <w:pPr>
              <w:spacing w:before="0" w:after="0" w:line="276" w:lineRule="auto"/>
              <w:jc w:val="center"/>
            </w:pPr>
            <w:r>
              <w:rPr>
                <w:rFonts w:ascii="Times New Roman" w:hAnsi="Times New Roman"/>
                <w:sz w:val="18"/>
              </w:rPr>
              <w:t>20.0% (200 reqs)</w:t>
            </w:r>
          </w:p>
        </w:tc>
        <w:tc>
          <w:tcPr>
            <w:tcW w:type="dxa" w:w="1368"/>
            <w:tcMar>
              <w:top w:w="45" w:type="dxa"/>
              <w:bottom w:w="45" w:type="dxa"/>
              <w:left w:w="50" w:type="dxa"/>
              <w:right w:w="50" w:type="dxa"/>
            </w:tcMar>
            <w:vAlign w:val="center"/>
          </w:tcPr>
          <w:p>
            <w:pPr>
              <w:spacing w:before="0" w:after="0" w:line="276" w:lineRule="auto"/>
              <w:jc w:val="center"/>
            </w:pPr>
            <w:r>
              <w:rPr>
                <w:rFonts w:ascii="Times New Roman" w:hAnsi="Times New Roman"/>
                <w:sz w:val="18"/>
              </w:rPr>
              <w:t>192 reqs</w:t>
            </w:r>
          </w:p>
        </w:tc>
        <w:tc>
          <w:tcPr>
            <w:tcW w:type="dxa" w:w="1224"/>
            <w:tcMar>
              <w:top w:w="45" w:type="dxa"/>
              <w:bottom w:w="45" w:type="dxa"/>
              <w:left w:w="50" w:type="dxa"/>
              <w:right w:w="50" w:type="dxa"/>
            </w:tcMar>
            <w:vAlign w:val="center"/>
          </w:tcPr>
          <w:p>
            <w:pPr>
              <w:spacing w:before="0" w:after="0" w:line="276" w:lineRule="auto"/>
              <w:jc w:val="center"/>
            </w:pPr>
            <w:r>
              <w:rPr>
                <w:rFonts w:ascii="Times New Roman" w:hAnsi="Times New Roman"/>
                <w:sz w:val="18"/>
              </w:rPr>
              <w:t>0.320</w:t>
            </w:r>
          </w:p>
        </w:tc>
        <w:tc>
          <w:tcPr>
            <w:tcW w:type="dxa" w:w="1397"/>
            <w:tcMar>
              <w:top w:w="45" w:type="dxa"/>
              <w:bottom w:w="45" w:type="dxa"/>
              <w:left w:w="50" w:type="dxa"/>
              <w:right w:w="50" w:type="dxa"/>
            </w:tcMar>
            <w:vAlign w:val="center"/>
          </w:tcPr>
          <w:p>
            <w:pPr>
              <w:spacing w:before="0" w:after="0" w:line="276" w:lineRule="auto"/>
              <w:jc w:val="center"/>
            </w:pPr>
            <w:r>
              <w:rPr>
                <w:rFonts w:ascii="Times New Roman" w:hAnsi="Times New Roman"/>
                <w:sz w:val="18"/>
              </w:rPr>
              <w:t>Active ($H_k = 0.95$)</w:t>
            </w:r>
          </w:p>
        </w:tc>
      </w:tr>
      <w:tr>
        <w:trPr>
          <w:cantSplit/>
        </w:trPr>
        <w:tc>
          <w:tcPr>
            <w:tcW w:type="dxa" w:w="1728"/>
            <w:tcMar>
              <w:top w:w="45" w:type="dxa"/>
              <w:bottom w:w="45" w:type="dxa"/>
              <w:left w:w="50" w:type="dxa"/>
              <w:right w:w="50" w:type="dxa"/>
            </w:tcMar>
            <w:vAlign w:val="center"/>
          </w:tcPr>
          <w:p>
            <w:pPr>
              <w:spacing w:before="0" w:after="0" w:line="276" w:lineRule="auto"/>
              <w:jc w:val="left"/>
            </w:pPr>
            <w:r>
              <w:rPr>
                <w:rFonts w:ascii="Times New Roman" w:hAnsi="Times New Roman"/>
                <w:sz w:val="18"/>
              </w:rPr>
              <w:t>Tier 3: Ultra-Fast Fallback</w:t>
            </w:r>
          </w:p>
        </w:tc>
        <w:tc>
          <w:tcPr>
            <w:tcW w:type="dxa" w:w="1872"/>
            <w:tcMar>
              <w:top w:w="45" w:type="dxa"/>
              <w:bottom w:w="45" w:type="dxa"/>
              <w:left w:w="50" w:type="dxa"/>
              <w:right w:w="50" w:type="dxa"/>
            </w:tcMar>
            <w:vAlign w:val="center"/>
          </w:tcPr>
          <w:p>
            <w:pPr>
              <w:spacing w:before="0" w:after="0" w:line="276" w:lineRule="auto"/>
              <w:jc w:val="left"/>
            </w:pPr>
            <w:r>
              <w:rPr>
                <w:rFonts w:ascii="Times New Roman" w:hAnsi="Times New Roman"/>
                <w:b/>
                <w:sz w:val="18"/>
              </w:rPr>
              <w:t>GROQ_LLAMA_POOL_01</w:t>
            </w:r>
          </w:p>
        </w:tc>
        <w:tc>
          <w:tcPr>
            <w:tcW w:type="dxa" w:w="1440"/>
            <w:tcMar>
              <w:top w:w="45" w:type="dxa"/>
              <w:bottom w:w="45" w:type="dxa"/>
              <w:left w:w="50" w:type="dxa"/>
              <w:right w:w="50" w:type="dxa"/>
            </w:tcMar>
            <w:vAlign w:val="center"/>
          </w:tcPr>
          <w:p>
            <w:pPr>
              <w:spacing w:before="0" w:after="0" w:line="276" w:lineRule="auto"/>
              <w:jc w:val="center"/>
            </w:pPr>
            <w:r>
              <w:rPr>
                <w:rFonts w:ascii="Times New Roman" w:hAnsi="Times New Roman"/>
                <w:sz w:val="18"/>
              </w:rPr>
              <w:t>10.0% (100 reqs)</w:t>
            </w:r>
          </w:p>
        </w:tc>
        <w:tc>
          <w:tcPr>
            <w:tcW w:type="dxa" w:w="1368"/>
            <w:tcMar>
              <w:top w:w="45" w:type="dxa"/>
              <w:bottom w:w="45" w:type="dxa"/>
              <w:left w:w="50" w:type="dxa"/>
              <w:right w:w="50" w:type="dxa"/>
            </w:tcMar>
            <w:vAlign w:val="center"/>
          </w:tcPr>
          <w:p>
            <w:pPr>
              <w:spacing w:before="0" w:after="0" w:line="276" w:lineRule="auto"/>
              <w:jc w:val="center"/>
            </w:pPr>
            <w:r>
              <w:rPr>
                <w:rFonts w:ascii="Times New Roman" w:hAnsi="Times New Roman"/>
                <w:sz w:val="18"/>
              </w:rPr>
              <w:t>109 reqs</w:t>
            </w:r>
          </w:p>
        </w:tc>
        <w:tc>
          <w:tcPr>
            <w:tcW w:type="dxa" w:w="1224"/>
            <w:tcMar>
              <w:top w:w="45" w:type="dxa"/>
              <w:bottom w:w="45" w:type="dxa"/>
              <w:left w:w="50" w:type="dxa"/>
              <w:right w:w="50" w:type="dxa"/>
            </w:tcMar>
            <w:vAlign w:val="center"/>
          </w:tcPr>
          <w:p>
            <w:pPr>
              <w:spacing w:before="0" w:after="0" w:line="276" w:lineRule="auto"/>
              <w:jc w:val="center"/>
            </w:pPr>
            <w:r>
              <w:rPr>
                <w:rFonts w:ascii="Times New Roman" w:hAnsi="Times New Roman"/>
                <w:sz w:val="18"/>
              </w:rPr>
              <w:t>0.810</w:t>
            </w:r>
          </w:p>
        </w:tc>
        <w:tc>
          <w:tcPr>
            <w:tcW w:type="dxa" w:w="1397"/>
            <w:tcMar>
              <w:top w:w="45" w:type="dxa"/>
              <w:bottom w:w="45" w:type="dxa"/>
              <w:left w:w="50" w:type="dxa"/>
              <w:right w:w="50" w:type="dxa"/>
            </w:tcMar>
            <w:vAlign w:val="center"/>
          </w:tcPr>
          <w:p>
            <w:pPr>
              <w:spacing w:before="0" w:after="0" w:line="276" w:lineRule="auto"/>
              <w:jc w:val="center"/>
            </w:pPr>
            <w:r>
              <w:rPr>
                <w:rFonts w:ascii="Times New Roman" w:hAnsi="Times New Roman"/>
                <w:sz w:val="18"/>
              </w:rPr>
              <w:t>Active ($H_k = 0.92$)</w:t>
            </w:r>
          </w:p>
        </w:tc>
      </w:tr>
      <w:tr>
        <w:trPr>
          <w:cantSplit/>
        </w:trPr>
        <w:tc>
          <w:tcPr>
            <w:tcW w:type="dxa" w:w="1728"/>
            <w:tcMar>
              <w:top w:w="45" w:type="dxa"/>
              <w:bottom w:w="45" w:type="dxa"/>
              <w:left w:w="50" w:type="dxa"/>
              <w:right w:w="50" w:type="dxa"/>
            </w:tcMar>
            <w:vAlign w:val="center"/>
          </w:tcPr>
          <w:p>
            <w:pPr>
              <w:spacing w:before="0" w:after="0" w:line="276" w:lineRule="auto"/>
              <w:jc w:val="left"/>
            </w:pPr>
            <w:r>
              <w:rPr>
                <w:rFonts w:ascii="Times New Roman" w:hAnsi="Times New Roman"/>
                <w:sz w:val="18"/>
              </w:rPr>
              <w:t>Tier 4: Local Air-Gapped</w:t>
            </w:r>
          </w:p>
        </w:tc>
        <w:tc>
          <w:tcPr>
            <w:tcW w:type="dxa" w:w="1872"/>
            <w:tcMar>
              <w:top w:w="45" w:type="dxa"/>
              <w:bottom w:w="45" w:type="dxa"/>
              <w:left w:w="50" w:type="dxa"/>
              <w:right w:w="50" w:type="dxa"/>
            </w:tcMar>
            <w:vAlign w:val="center"/>
          </w:tcPr>
          <w:p>
            <w:pPr>
              <w:spacing w:before="0" w:after="0" w:line="276" w:lineRule="auto"/>
              <w:jc w:val="left"/>
            </w:pPr>
            <w:r>
              <w:rPr>
                <w:rFonts w:ascii="Times New Roman" w:hAnsi="Times New Roman"/>
                <w:b/>
                <w:sz w:val="18"/>
              </w:rPr>
              <w:t>OLLAMA_LOCAL_HOST</w:t>
            </w:r>
          </w:p>
        </w:tc>
        <w:tc>
          <w:tcPr>
            <w:tcW w:type="dxa" w:w="1440"/>
            <w:tcMar>
              <w:top w:w="45" w:type="dxa"/>
              <w:bottom w:w="45" w:type="dxa"/>
              <w:left w:w="50" w:type="dxa"/>
              <w:right w:w="50" w:type="dxa"/>
            </w:tcMar>
            <w:vAlign w:val="center"/>
          </w:tcPr>
          <w:p>
            <w:pPr>
              <w:spacing w:before="0" w:after="0" w:line="276" w:lineRule="auto"/>
              <w:jc w:val="center"/>
            </w:pPr>
            <w:r>
              <w:rPr>
                <w:rFonts w:ascii="Times New Roman" w:hAnsi="Times New Roman"/>
                <w:sz w:val="18"/>
              </w:rPr>
              <w:t>5.0% (50 reqs)</w:t>
            </w:r>
          </w:p>
        </w:tc>
        <w:tc>
          <w:tcPr>
            <w:tcW w:type="dxa" w:w="1368"/>
            <w:tcMar>
              <w:top w:w="45" w:type="dxa"/>
              <w:bottom w:w="45" w:type="dxa"/>
              <w:left w:w="50" w:type="dxa"/>
              <w:right w:w="50" w:type="dxa"/>
            </w:tcMar>
            <w:vAlign w:val="center"/>
          </w:tcPr>
          <w:p>
            <w:pPr>
              <w:spacing w:before="0" w:after="0" w:line="276" w:lineRule="auto"/>
              <w:jc w:val="center"/>
            </w:pPr>
            <w:r>
              <w:rPr>
                <w:rFonts w:ascii="Times New Roman" w:hAnsi="Times New Roman"/>
                <w:sz w:val="18"/>
              </w:rPr>
              <w:t>47 reqs</w:t>
            </w:r>
          </w:p>
        </w:tc>
        <w:tc>
          <w:tcPr>
            <w:tcW w:type="dxa" w:w="1224"/>
            <w:tcMar>
              <w:top w:w="45" w:type="dxa"/>
              <w:bottom w:w="45" w:type="dxa"/>
              <w:left w:w="50" w:type="dxa"/>
              <w:right w:w="50" w:type="dxa"/>
            </w:tcMar>
            <w:vAlign w:val="center"/>
          </w:tcPr>
          <w:p>
            <w:pPr>
              <w:spacing w:before="0" w:after="0" w:line="276" w:lineRule="auto"/>
              <w:jc w:val="center"/>
            </w:pPr>
            <w:r>
              <w:rPr>
                <w:rFonts w:ascii="Times New Roman" w:hAnsi="Times New Roman"/>
                <w:sz w:val="18"/>
              </w:rPr>
              <w:t>0.180</w:t>
            </w:r>
          </w:p>
        </w:tc>
        <w:tc>
          <w:tcPr>
            <w:tcW w:type="dxa" w:w="1397"/>
            <w:tcMar>
              <w:top w:w="45" w:type="dxa"/>
              <w:bottom w:w="45" w:type="dxa"/>
              <w:left w:w="50" w:type="dxa"/>
              <w:right w:w="50" w:type="dxa"/>
            </w:tcMar>
            <w:vAlign w:val="center"/>
          </w:tcPr>
          <w:p>
            <w:pPr>
              <w:spacing w:before="0" w:after="0" w:line="276" w:lineRule="auto"/>
              <w:jc w:val="center"/>
            </w:pPr>
            <w:r>
              <w:rPr>
                <w:rFonts w:ascii="Times New Roman" w:hAnsi="Times New Roman"/>
                <w:sz w:val="18"/>
              </w:rPr>
              <w:t>Standby ($H_k = 1.00$)</w:t>
            </w:r>
          </w:p>
        </w:tc>
      </w:tr>
      <w:tr>
        <w:trPr>
          <w:cantSplit/>
        </w:trPr>
        <w:tc>
          <w:tcPr>
            <w:tcW w:type="dxa" w:w="1728"/>
            <w:tcMar>
              <w:top w:w="45" w:type="dxa"/>
              <w:bottom w:w="45" w:type="dxa"/>
              <w:left w:w="50" w:type="dxa"/>
              <w:right w:w="50" w:type="dxa"/>
            </w:tcMar>
            <w:vAlign w:val="center"/>
          </w:tcPr>
          <w:p>
            <w:pPr>
              <w:spacing w:before="0" w:after="0" w:line="276" w:lineRule="auto"/>
              <w:jc w:val="left"/>
            </w:pPr>
            <w:r>
              <w:rPr>
                <w:rFonts w:ascii="Times New Roman" w:hAnsi="Times New Roman"/>
                <w:b/>
                <w:sz w:val="18"/>
              </w:rPr>
              <w:t>Total / Global Test Stat</w:t>
            </w:r>
          </w:p>
        </w:tc>
        <w:tc>
          <w:tcPr>
            <w:tcW w:type="dxa" w:w="1872"/>
            <w:tcMar>
              <w:top w:w="45" w:type="dxa"/>
              <w:bottom w:w="45" w:type="dxa"/>
              <w:left w:w="50" w:type="dxa"/>
              <w:right w:w="50" w:type="dxa"/>
            </w:tcMar>
            <w:vAlign w:val="center"/>
          </w:tcPr>
          <w:p>
            <w:pPr>
              <w:spacing w:before="0" w:after="0" w:line="276" w:lineRule="auto"/>
              <w:jc w:val="left"/>
            </w:pPr>
            <w:r>
              <w:rPr>
                <w:rFonts w:ascii="Times New Roman" w:hAnsi="Times New Roman"/>
                <w:b/>
                <w:sz w:val="18"/>
              </w:rPr>
              <w:t>Aggregated Pool Matrix (N=1000)</w:t>
            </w:r>
          </w:p>
        </w:tc>
        <w:tc>
          <w:tcPr>
            <w:tcW w:type="dxa" w:w="1440"/>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100.0% (1000 reqs)</w:t>
            </w:r>
          </w:p>
        </w:tc>
        <w:tc>
          <w:tcPr>
            <w:tcW w:type="dxa" w:w="1368"/>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1000 reqs</w:t>
            </w:r>
          </w:p>
        </w:tc>
        <w:tc>
          <w:tcPr>
            <w:tcW w:type="dxa" w:w="1224"/>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Total χ² = 1.626</w:t>
            </w:r>
          </w:p>
        </w:tc>
        <w:tc>
          <w:tcPr>
            <w:tcW w:type="dxa" w:w="1397"/>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p-value = 0.804 (&gt; 0.05, H₀ Retained)</w:t>
            </w:r>
          </w:p>
        </w:tc>
      </w:tr>
    </w:tbl>
    <w:p>
      <w:pPr>
        <w:keepNext/>
        <w:spacing w:before="360" w:after="120"/>
      </w:pPr>
      <w:r>
        <w:rPr>
          <w:rFonts w:ascii="Times New Roman" w:hAnsi="Times New Roman"/>
          <w:b/>
          <w:sz w:val="28"/>
        </w:rPr>
        <w:t>4.5 Universal Rootless Docker Sandbox &amp; Runtime Isolation Engine</w:t>
      </w:r>
    </w:p>
    <w:p>
      <w:pPr>
        <w:spacing w:line="360" w:lineRule="auto" w:after="120"/>
        <w:jc w:val="both"/>
      </w:pPr>
      <w:r>
        <w:rPr>
          <w:rFonts w:ascii="Times New Roman" w:hAnsi="Times New Roman"/>
          <w:sz w:val="24"/>
        </w:rPr>
        <w:t>Code generation in the absence of execution-level grounding produces fragile artifacts. To deterministically establish runtime correctness, AutoDev couples every synthesis stage with an ephemeral, rootless Docker sandbox execution engine. The sandbox provides complete operating system-level isolation without requiring root privileges on the host system, leveraging Linux user namespaces (`subuid` and `subgid` mapping) to map container UID 0 to an unprivileged host daemon user.</w:t>
      </w:r>
    </w:p>
    <w:p>
      <w:pPr>
        <w:spacing w:line="360" w:lineRule="auto" w:after="120"/>
        <w:jc w:val="both"/>
      </w:pPr>
      <w:r>
        <w:rPr>
          <w:rFonts w:ascii="Times New Roman" w:hAnsi="Times New Roman"/>
          <w:sz w:val="24"/>
        </w:rPr>
        <w:t>Each sandbox instance is spawned from a standardized, pre-warmed base container image configured for polyglot execution (Python 3.11, Node.js 20, Go 1.22, Rust 1.78). The generated project workspace is mounted via an ephemeral read-write bind mount into `/workspace`, while the root container filesystem is mounted as read-only (`--read-only`) with temporary storage directed to a secure in-memory `tmpfs`. To prevent malicious or resource-exhaustive code from destabilizing the host, the engine enforces strict Linux kernel control group (cgroup) constraints: maximum 2.0 CPU cores (`--cpus=2.0`), 2048 MB RAM ceiling (`--memory=2048m`), 128 maximum process forks (`--pids-limit=128`), and a hard execution timeout enforced via SIGKILL after 120 seconds.</w:t>
      </w:r>
    </w:p>
    <w:p>
      <w:pPr>
        <w:spacing w:line="360" w:lineRule="auto" w:after="120"/>
        <w:jc w:val="both"/>
      </w:pPr>
      <w:r>
        <w:rPr>
          <w:rFonts w:ascii="Times New Roman" w:hAnsi="Times New Roman"/>
          <w:sz w:val="24"/>
        </w:rPr>
        <w:t>Upon container instantiation, the sandbox executes an automated entrypoint script that detects the project manifest, installs required third-party dependencies (`pip install -r requirements.txt`, `npm install`, `cargo build`), and executes the generated test harness. Standard output (stdout), standard error (stderr), and process exit codes are captured via streaming multiplexed sockets and forwarded to the Multi-Critic Arbitration Network. Fig 4.5 illustrates the container sandboxing lifecycle.</w:t>
      </w:r>
    </w:p>
    <w:p>
      <w:pPr>
        <w:spacing w:before="240" w:after="80"/>
        <w:jc w:val="center"/>
      </w:pPr>
      <w:r>
        <w:drawing>
          <wp:inline xmlns:a="http://schemas.openxmlformats.org/drawingml/2006/main" xmlns:pic="http://schemas.openxmlformats.org/drawingml/2006/picture">
            <wp:extent cx="5303520" cy="2586553"/>
            <wp:docPr id="5" name="Picture 5"/>
            <wp:cNvGraphicFramePr>
              <a:graphicFrameLocks noChangeAspect="1"/>
            </wp:cNvGraphicFramePr>
            <a:graphic>
              <a:graphicData uri="http://schemas.openxmlformats.org/drawingml/2006/picture">
                <pic:pic>
                  <pic:nvPicPr>
                    <pic:cNvPr id="0" name="fig4_5_docker_sandbox_lifecycle.png"/>
                    <pic:cNvPicPr/>
                  </pic:nvPicPr>
                  <pic:blipFill>
                    <a:blip r:embed="rId14"/>
                    <a:stretch>
                      <a:fillRect/>
                    </a:stretch>
                  </pic:blipFill>
                  <pic:spPr>
                    <a:xfrm>
                      <a:off x="0" y="0"/>
                      <a:ext cx="5303520" cy="2586553"/>
                    </a:xfrm>
                    <a:prstGeom prst="rect"/>
                  </pic:spPr>
                </pic:pic>
              </a:graphicData>
            </a:graphic>
          </wp:inline>
        </w:drawing>
      </w:r>
    </w:p>
    <w:p>
      <w:pPr>
        <w:keepNext/>
        <w:spacing w:before="40" w:after="280"/>
        <w:jc w:val="center"/>
      </w:pPr>
      <w:r>
        <w:rPr>
          <w:rFonts w:ascii="Times New Roman" w:hAnsi="Times New Roman"/>
          <w:b/>
          <w:i/>
          <w:sz w:val="21"/>
        </w:rPr>
        <w:t>Fig 4.5: Universal Rootless Docker Sandbox &amp; Ephemeral Container Execution Lifecycle</w:t>
      </w:r>
    </w:p>
    <w:p>
      <w:pPr>
        <w:keepNext/>
        <w:spacing w:before="360" w:after="120"/>
      </w:pPr>
      <w:r>
        <w:rPr>
          <w:rFonts w:ascii="Times New Roman" w:hAnsi="Times New Roman"/>
          <w:b/>
          <w:sz w:val="28"/>
        </w:rPr>
        <w:t>4.6 Multi-Critic Peer-Review &amp; Closed-Loop Self-Healing Network</w:t>
      </w:r>
    </w:p>
    <w:p>
      <w:pPr>
        <w:spacing w:line="360" w:lineRule="auto" w:after="120"/>
        <w:jc w:val="both"/>
      </w:pPr>
      <w:r>
        <w:rPr>
          <w:rFonts w:ascii="Times New Roman" w:hAnsi="Times New Roman"/>
          <w:sz w:val="24"/>
        </w:rPr>
        <w:t>Inspired by Michael Fagan’s formal software inspection methodology, AutoDev distributes code inspection across an automated peer-review network consisting of four specialized, decoupled critic agents. Rather than relying on a single general-purpose prompt to evaluate code quality, each critic focuses exclusively on a distinct domain of correctness: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AST Validator: </w:t>
      </w:r>
      <w:r>
        <w:rPr>
          <w:rFonts w:ascii="Times New Roman" w:hAnsi="Times New Roman"/>
          <w:sz w:val="24"/>
        </w:rPr>
        <w:t>Executes compiler-grade static parsing using native language parsers (Python `ast`, TypeScript Babel AST). Validates syntactic correctness, identifies unclosed delimiter tokens, and verifies import references prior to container execution.</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Linter &amp; Static Type Critic: </w:t>
      </w:r>
      <w:r>
        <w:rPr>
          <w:rFonts w:ascii="Times New Roman" w:hAnsi="Times New Roman"/>
          <w:sz w:val="24"/>
        </w:rPr>
        <w:t>Runs strict static type analysis (`mypy`, `tsc --noEmit`) and quality linters (ESLint, Flake8). Verifies function signatures, eliminates implicit `any` leaks, and flags unreachable dead code blocks.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Semantic Logic &amp; Test Critic: </w:t>
      </w:r>
      <w:r>
        <w:rPr>
          <w:rFonts w:ascii="Times New Roman" w:hAnsi="Times New Roman"/>
          <w:sz w:val="24"/>
        </w:rPr>
        <w:t>Evaluates test execution results from the Docker sandbox (`pytest`, `jest`, `vitest`). Parses assertion errors, traces stack traces, and validates edge-case handling against the architectural specification.</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Security Vulnerability Auditor: </w:t>
      </w:r>
      <w:r>
        <w:rPr>
          <w:rFonts w:ascii="Times New Roman" w:hAnsi="Times New Roman"/>
          <w:sz w:val="24"/>
        </w:rPr>
        <w:t>Scans the synthesized repository against OWASP Top 10 vulnerabilities, identifying SQL injections, hardcoded credentials, insecure cryptographic algorithms, and known Common Vulnerabilities and Exposures (CVEs) in package manifests.</w:t>
      </w:r>
    </w:p>
    <w:p>
      <w:pPr>
        <w:spacing w:line="360" w:lineRule="auto" w:after="120"/>
        <w:jc w:val="both"/>
      </w:pPr>
      <w:r>
        <w:rPr>
          <w:rFonts w:ascii="Times New Roman" w:hAnsi="Times New Roman"/>
          <w:sz w:val="24"/>
        </w:rPr>
        <w:t>The evaluations of the four critics are aggregated into a four-dimensional quality vector: $Q_vec = ⟨ q_{ast}, q_{type}, q_{test}, q_{sec} ⟩$, where each component $q_i ∈ \{0, 1\}$. The Consensus Arbiter evaluates the acceptance condition: $∏(i=1 to 4) q_i == 1$. If all critics unanimously pass, the component is committed to the repository assembly queue. If any critic fails ($q_i = 0$), the Arbiter synthesizes a structured diagnostic payload containing exact line numbers, compiler stack traces, and architectural constraints. This payload is dispatched to a specialized self-healing repair agent that performs targeted code surgery on the defective files without regenerating the entire codebase. The self-healing loop supports up to three automated repair iterations before escalation. Fig 4.6 diagrams the multi-critic arbitration and self-healing network.</w:t>
      </w:r>
    </w:p>
    <w:p>
      <w:pPr>
        <w:spacing w:before="240" w:after="80"/>
        <w:jc w:val="center"/>
      </w:pPr>
      <w:r>
        <w:drawing>
          <wp:inline xmlns:a="http://schemas.openxmlformats.org/drawingml/2006/main" xmlns:pic="http://schemas.openxmlformats.org/drawingml/2006/picture">
            <wp:extent cx="5303520" cy="2572074"/>
            <wp:docPr id="6" name="Picture 6"/>
            <wp:cNvGraphicFramePr>
              <a:graphicFrameLocks noChangeAspect="1"/>
            </wp:cNvGraphicFramePr>
            <a:graphic>
              <a:graphicData uri="http://schemas.openxmlformats.org/drawingml/2006/picture">
                <pic:pic>
                  <pic:nvPicPr>
                    <pic:cNvPr id="0" name="fig4_6_multi_critic_arbitration.png"/>
                    <pic:cNvPicPr/>
                  </pic:nvPicPr>
                  <pic:blipFill>
                    <a:blip r:embed="rId15"/>
                    <a:stretch>
                      <a:fillRect/>
                    </a:stretch>
                  </pic:blipFill>
                  <pic:spPr>
                    <a:xfrm>
                      <a:off x="0" y="0"/>
                      <a:ext cx="5303520" cy="2572074"/>
                    </a:xfrm>
                    <a:prstGeom prst="rect"/>
                  </pic:spPr>
                </pic:pic>
              </a:graphicData>
            </a:graphic>
          </wp:inline>
        </w:drawing>
      </w:r>
    </w:p>
    <w:p>
      <w:pPr>
        <w:keepNext/>
        <w:spacing w:before="40" w:after="280"/>
        <w:jc w:val="center"/>
      </w:pPr>
      <w:r>
        <w:rPr>
          <w:rFonts w:ascii="Times New Roman" w:hAnsi="Times New Roman"/>
          <w:b/>
          <w:i/>
          <w:sz w:val="21"/>
        </w:rPr>
        <w:t>Fig 4.6: Multi-Critic Peer-Review &amp; Closed-Loop Self-Healing Arbitration Network</w:t>
      </w:r>
    </w:p>
    <w:p>
      <w:pPr>
        <w:keepNext/>
        <w:spacing w:before="360" w:after="120"/>
      </w:pPr>
      <w:r>
        <w:rPr>
          <w:rFonts w:ascii="Times New Roman" w:hAnsi="Times New Roman"/>
          <w:b/>
          <w:sz w:val="28"/>
        </w:rPr>
        <w:t>4.7 Database Schema &amp; Write-Ahead Event Telemetry Architecture</w:t>
      </w:r>
    </w:p>
    <w:p>
      <w:pPr>
        <w:spacing w:line="360" w:lineRule="auto" w:after="120"/>
        <w:jc w:val="both"/>
      </w:pPr>
      <w:r>
        <w:rPr>
          <w:rFonts w:ascii="Times New Roman" w:hAnsi="Times New Roman"/>
          <w:sz w:val="24"/>
        </w:rPr>
        <w:t>To ensure auditability, fault tolerance, and session persistence across complex multi-stage synthesis runs, AutoDev utilizes a MongoDB Atlas NoSQL document database. A document model was selected over a relational schema due to its superior flexibility in storing heterogeneous AST representations, dynamic JSON dependency trees, and variable multi-critic diagnostic payloads.</w:t>
      </w:r>
    </w:p>
    <w:p>
      <w:pPr>
        <w:spacing w:line="360" w:lineRule="auto" w:after="120"/>
        <w:jc w:val="both"/>
      </w:pPr>
      <w:r>
        <w:rPr>
          <w:rFonts w:ascii="Times New Roman" w:hAnsi="Times New Roman"/>
          <w:sz w:val="24"/>
        </w:rPr>
        <w:t>The persistence architecture is structured across four primary document collections: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`users`: </w:t>
      </w:r>
      <w:r>
        <w:rPr>
          <w:rFonts w:ascii="Times New Roman" w:hAnsi="Times New Roman"/>
          <w:sz w:val="24"/>
        </w:rPr>
        <w:t>Maintains user identity records, bcrypt-hashed credentials, custom multi-pool API keys (encrypted at rest using AES-256-GCM), and user preference profiles.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`projects`: </w:t>
      </w:r>
      <w:r>
        <w:rPr>
          <w:rFonts w:ascii="Times New Roman" w:hAnsi="Times New Roman"/>
          <w:sz w:val="24"/>
        </w:rPr>
        <w:t>Stores high-level workspace metadata, user natural language requirements, generated architectural blueprints, component DAG topology definitions, and Git repository sync links.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`pipeline_states`: </w:t>
      </w:r>
      <w:r>
        <w:rPr>
          <w:rFonts w:ascii="Times New Roman" w:hAnsi="Times New Roman"/>
          <w:sz w:val="24"/>
        </w:rPr>
        <w:t>Tracks active execution stages, active stage mutex leases, monotonic epoch fencing tokens ($τ_epoch$), critic iteration counters, and component completion statuses.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`telemetry_logs`: </w:t>
      </w:r>
      <w:r>
        <w:rPr>
          <w:rFonts w:ascii="Times New Roman" w:hAnsi="Times New Roman"/>
          <w:sz w:val="24"/>
        </w:rPr>
        <w:t>Maintains an immutable Write-Ahead Log (WAL) of all pipeline events: LLM prompt/completion token expenditures, agent thought steps, container stdout/stderr streams, and millisecond-precision timing milestones.</w:t>
      </w:r>
    </w:p>
    <w:p>
      <w:pPr>
        <w:spacing w:line="360" w:lineRule="auto" w:after="120"/>
        <w:jc w:val="both"/>
      </w:pPr>
      <w:r>
        <w:rPr>
          <w:rFonts w:ascii="Times New Roman" w:hAnsi="Times New Roman"/>
          <w:sz w:val="24"/>
        </w:rPr>
        <w:t>The integration of Write-Ahead Logging ensures that if a server crash occurs during long-running code generation, the pipeline state can be restored deterministically from the last completed epoch token without repeating already validated components. Fig 4.7 illustrates the entity-relationship and telemetry event schema.</w:t>
      </w:r>
    </w:p>
    <w:p>
      <w:pPr>
        <w:spacing w:before="240" w:after="80"/>
        <w:jc w:val="center"/>
      </w:pPr>
      <w:r>
        <w:drawing>
          <wp:inline xmlns:a="http://schemas.openxmlformats.org/drawingml/2006/main" xmlns:pic="http://schemas.openxmlformats.org/drawingml/2006/picture">
            <wp:extent cx="5303520" cy="6050494"/>
            <wp:docPr id="7" name="Picture 7"/>
            <wp:cNvGraphicFramePr>
              <a:graphicFrameLocks noChangeAspect="1"/>
            </wp:cNvGraphicFramePr>
            <a:graphic>
              <a:graphicData uri="http://schemas.openxmlformats.org/drawingml/2006/picture">
                <pic:pic>
                  <pic:nvPicPr>
                    <pic:cNvPr id="0" name="fig4_7_database_schema.png"/>
                    <pic:cNvPicPr/>
                  </pic:nvPicPr>
                  <pic:blipFill>
                    <a:blip r:embed="rId16"/>
                    <a:stretch>
                      <a:fillRect/>
                    </a:stretch>
                  </pic:blipFill>
                  <pic:spPr>
                    <a:xfrm>
                      <a:off x="0" y="0"/>
                      <a:ext cx="5303520" cy="6050494"/>
                    </a:xfrm>
                    <a:prstGeom prst="rect"/>
                  </pic:spPr>
                </pic:pic>
              </a:graphicData>
            </a:graphic>
          </wp:inline>
        </w:drawing>
      </w:r>
    </w:p>
    <w:p>
      <w:pPr>
        <w:keepNext/>
        <w:spacing w:before="40" w:after="280"/>
        <w:jc w:val="center"/>
      </w:pPr>
      <w:r>
        <w:rPr>
          <w:rFonts w:ascii="Times New Roman" w:hAnsi="Times New Roman"/>
          <w:b/>
          <w:i/>
          <w:sz w:val="21"/>
        </w:rPr>
        <w:t>Fig 4.7: Database Entity-Relationship &amp; Write-Ahead Event Telemetry Schema</w:t>
      </w:r>
    </w:p>
    <w:p>
      <w:pPr>
        <w:keepNext/>
        <w:spacing w:before="360" w:after="120"/>
      </w:pPr>
      <w:r>
        <w:rPr>
          <w:rFonts w:ascii="Times New Roman" w:hAnsi="Times New Roman"/>
          <w:b/>
          <w:sz w:val="28"/>
        </w:rPr>
        <w:t>4.8 Technology Stack Selection &amp; Justification</w:t>
      </w:r>
    </w:p>
    <w:p>
      <w:pPr>
        <w:spacing w:line="360" w:lineRule="auto" w:after="120"/>
        <w:jc w:val="both"/>
      </w:pPr>
      <w:r>
        <w:rPr>
          <w:rFonts w:ascii="Times New Roman" w:hAnsi="Times New Roman"/>
          <w:sz w:val="24"/>
        </w:rPr>
        <w:t>The technological stack of AutoDev was systematically selected to meet the stringent demands of asynchronous multi-agent coordination, low-latency telemetry broadcasting, secure container sandboxing, and high-performance web presentation. Table 4.3 details the selected technologies, evaluated alternatives, and their architectural justifications.</w:t>
      </w:r>
    </w:p>
    <w:p>
      <w:pPr>
        <w:keepNext/>
        <w:spacing w:before="280" w:after="120"/>
        <w:jc w:val="center"/>
      </w:pPr>
      <w:r>
        <w:rPr>
          <w:rFonts w:ascii="Times New Roman" w:hAnsi="Times New Roman"/>
          <w:b/>
          <w:sz w:val="22"/>
        </w:rPr>
        <w:t>Table 4.3: Technology Stack Selection Justification and Architectural Trade-off Matrix</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1806"/>
        <w:gridCol w:w="1806"/>
        <w:gridCol w:w="1806"/>
        <w:gridCol w:w="1806"/>
        <w:gridCol w:w="1806"/>
      </w:tblGrid>
      <w:tr>
        <w:trPr>
          <w:cantSplit/>
          <w:tblHeader/>
        </w:trPr>
        <w:tc>
          <w:tcPr>
            <w:tcW w:type="dxa" w:w="1800"/>
            <w:shd w:fill="F2F4F7"/>
            <w:tcMar>
              <w:top w:w="60" w:type="dxa"/>
              <w:bottom w:w="60" w:type="dxa"/>
              <w:left w:w="50" w:type="dxa"/>
              <w:right w:w="50" w:type="dxa"/>
            </w:tcMar>
            <w:vAlign w:val="center"/>
          </w:tcPr>
          <w:p>
            <w:pPr>
              <w:spacing w:before="0" w:after="0"/>
              <w:jc w:val="left"/>
            </w:pPr>
            <w:r>
              <w:rPr>
                <w:rFonts w:ascii="Times New Roman" w:hAnsi="Times New Roman"/>
                <w:b/>
                <w:sz w:val="19"/>
              </w:rPr>
              <w:t>System Layer / Component</w:t>
            </w:r>
          </w:p>
        </w:tc>
        <w:tc>
          <w:tcPr>
            <w:tcW w:type="dxa" w:w="1728"/>
            <w:shd w:fill="F2F4F7"/>
            <w:tcMar>
              <w:top w:w="60" w:type="dxa"/>
              <w:bottom w:w="60" w:type="dxa"/>
              <w:left w:w="50" w:type="dxa"/>
              <w:right w:w="50" w:type="dxa"/>
            </w:tcMar>
            <w:vAlign w:val="center"/>
          </w:tcPr>
          <w:p>
            <w:pPr>
              <w:spacing w:before="0" w:after="0"/>
              <w:jc w:val="center"/>
            </w:pPr>
            <w:r>
              <w:rPr>
                <w:rFonts w:ascii="Times New Roman" w:hAnsi="Times New Roman"/>
                <w:b/>
                <w:sz w:val="19"/>
              </w:rPr>
              <w:t>Selected Technology</w:t>
            </w:r>
          </w:p>
        </w:tc>
        <w:tc>
          <w:tcPr>
            <w:tcW w:type="dxa" w:w="1584"/>
            <w:shd w:fill="F2F4F7"/>
            <w:tcMar>
              <w:top w:w="60" w:type="dxa"/>
              <w:bottom w:w="60" w:type="dxa"/>
              <w:left w:w="50" w:type="dxa"/>
              <w:right w:w="50" w:type="dxa"/>
            </w:tcMar>
            <w:vAlign w:val="center"/>
          </w:tcPr>
          <w:p>
            <w:pPr>
              <w:spacing w:before="0" w:after="0"/>
              <w:jc w:val="center"/>
            </w:pPr>
            <w:r>
              <w:rPr>
                <w:rFonts w:ascii="Times New Roman" w:hAnsi="Times New Roman"/>
                <w:b/>
                <w:sz w:val="19"/>
              </w:rPr>
              <w:t>Considered Alternatives</w:t>
            </w:r>
          </w:p>
        </w:tc>
        <w:tc>
          <w:tcPr>
            <w:tcW w:type="dxa" w:w="2045"/>
            <w:shd w:fill="F2F4F7"/>
            <w:tcMar>
              <w:top w:w="60" w:type="dxa"/>
              <w:bottom w:w="60" w:type="dxa"/>
              <w:left w:w="50" w:type="dxa"/>
              <w:right w:w="50" w:type="dxa"/>
            </w:tcMar>
            <w:vAlign w:val="center"/>
          </w:tcPr>
          <w:p>
            <w:pPr>
              <w:spacing w:before="0" w:after="0"/>
              <w:jc w:val="center"/>
            </w:pPr>
            <w:r>
              <w:rPr>
                <w:rFonts w:ascii="Times New Roman" w:hAnsi="Times New Roman"/>
                <w:b/>
                <w:sz w:val="19"/>
              </w:rPr>
              <w:t>Key Architectural Advantages</w:t>
            </w:r>
          </w:p>
        </w:tc>
        <w:tc>
          <w:tcPr>
            <w:tcW w:type="dxa" w:w="1872"/>
            <w:shd w:fill="F2F4F7"/>
            <w:tcMar>
              <w:top w:w="60" w:type="dxa"/>
              <w:bottom w:w="60" w:type="dxa"/>
              <w:left w:w="50" w:type="dxa"/>
              <w:right w:w="50" w:type="dxa"/>
            </w:tcMar>
            <w:vAlign w:val="center"/>
          </w:tcPr>
          <w:p>
            <w:pPr>
              <w:spacing w:before="0" w:after="0"/>
              <w:jc w:val="center"/>
            </w:pPr>
            <w:r>
              <w:rPr>
                <w:rFonts w:ascii="Times New Roman" w:hAnsi="Times New Roman"/>
                <w:b/>
                <w:sz w:val="19"/>
              </w:rPr>
              <w:t>Primary Trade-off &amp; Mitigation</w:t>
            </w:r>
          </w:p>
        </w:tc>
      </w:tr>
      <w:tr>
        <w:trPr>
          <w:cantSplit/>
        </w:trPr>
        <w:tc>
          <w:tcPr>
            <w:tcW w:type="dxa" w:w="1800"/>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Backend API Framework</w:t>
            </w:r>
          </w:p>
        </w:tc>
        <w:tc>
          <w:tcPr>
            <w:tcW w:type="dxa" w:w="1728"/>
            <w:tcMar>
              <w:top w:w="45" w:type="dxa"/>
              <w:bottom w:w="45" w:type="dxa"/>
              <w:left w:w="50" w:type="dxa"/>
              <w:right w:w="50" w:type="dxa"/>
            </w:tcMar>
            <w:vAlign w:val="center"/>
          </w:tcPr>
          <w:p>
            <w:pPr>
              <w:spacing w:before="0" w:after="0" w:line="276" w:lineRule="auto"/>
              <w:jc w:val="left"/>
            </w:pPr>
            <w:r>
              <w:rPr>
                <w:rFonts w:ascii="Times New Roman" w:hAnsi="Times New Roman"/>
                <w:sz w:val="18"/>
              </w:rPr>
              <w:t>FastAPI (Python 3.11+)</w:t>
            </w:r>
          </w:p>
        </w:tc>
        <w:tc>
          <w:tcPr>
            <w:tcW w:type="dxa" w:w="1584"/>
            <w:tcMar>
              <w:top w:w="45" w:type="dxa"/>
              <w:bottom w:w="45" w:type="dxa"/>
              <w:left w:w="50" w:type="dxa"/>
              <w:right w:w="50" w:type="dxa"/>
            </w:tcMar>
            <w:vAlign w:val="center"/>
          </w:tcPr>
          <w:p>
            <w:pPr>
              <w:spacing w:before="0" w:after="0" w:line="276" w:lineRule="auto"/>
              <w:jc w:val="left"/>
            </w:pPr>
            <w:r>
              <w:rPr>
                <w:rFonts w:ascii="Times New Roman" w:hAnsi="Times New Roman"/>
                <w:sz w:val="18"/>
              </w:rPr>
              <w:t>Django, Flask, Express.js</w:t>
            </w:r>
          </w:p>
        </w:tc>
        <w:tc>
          <w:tcPr>
            <w:tcW w:type="dxa" w:w="2045"/>
            <w:tcMar>
              <w:top w:w="45" w:type="dxa"/>
              <w:bottom w:w="45" w:type="dxa"/>
              <w:left w:w="50" w:type="dxa"/>
              <w:right w:w="50" w:type="dxa"/>
            </w:tcMar>
            <w:vAlign w:val="center"/>
          </w:tcPr>
          <w:p>
            <w:pPr>
              <w:spacing w:before="0" w:after="0" w:line="276" w:lineRule="auto"/>
              <w:jc w:val="left"/>
            </w:pPr>
            <w:r>
              <w:rPr>
                <w:rFonts w:ascii="Times New Roman" w:hAnsi="Times New Roman"/>
                <w:sz w:val="18"/>
              </w:rPr>
              <w:t>Native asynchronous event loop, Pydantic data validation, high-throughput SSE log streaming.</w:t>
            </w:r>
          </w:p>
        </w:tc>
        <w:tc>
          <w:tcPr>
            <w:tcW w:type="dxa" w:w="1872"/>
            <w:tcMar>
              <w:top w:w="45" w:type="dxa"/>
              <w:bottom w:w="45" w:type="dxa"/>
              <w:left w:w="50" w:type="dxa"/>
              <w:right w:w="50" w:type="dxa"/>
            </w:tcMar>
            <w:vAlign w:val="center"/>
          </w:tcPr>
          <w:p>
            <w:pPr>
              <w:spacing w:before="0" w:after="0" w:line="276" w:lineRule="auto"/>
              <w:jc w:val="left"/>
            </w:pPr>
            <w:r>
              <w:rPr>
                <w:rFonts w:ascii="Times New Roman" w:hAnsi="Times New Roman"/>
                <w:sz w:val="18"/>
              </w:rPr>
              <w:t>Event loop blocking risks. Mitigation: Offloading heavy CPU tasks to worker threadpools.</w:t>
            </w:r>
          </w:p>
        </w:tc>
      </w:tr>
      <w:tr>
        <w:trPr>
          <w:cantSplit/>
        </w:trPr>
        <w:tc>
          <w:tcPr>
            <w:tcW w:type="dxa" w:w="1800"/>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Multi-Agent Orchestration</w:t>
            </w:r>
          </w:p>
        </w:tc>
        <w:tc>
          <w:tcPr>
            <w:tcW w:type="dxa" w:w="1728"/>
            <w:tcMar>
              <w:top w:w="45" w:type="dxa"/>
              <w:bottom w:w="45" w:type="dxa"/>
              <w:left w:w="50" w:type="dxa"/>
              <w:right w:w="50" w:type="dxa"/>
            </w:tcMar>
            <w:vAlign w:val="center"/>
          </w:tcPr>
          <w:p>
            <w:pPr>
              <w:spacing w:before="0" w:after="0" w:line="276" w:lineRule="auto"/>
              <w:jc w:val="left"/>
            </w:pPr>
            <w:r>
              <w:rPr>
                <w:rFonts w:ascii="Times New Roman" w:hAnsi="Times New Roman"/>
                <w:sz w:val="18"/>
              </w:rPr>
              <w:t>LangGraph &amp; State Automata</w:t>
            </w:r>
          </w:p>
        </w:tc>
        <w:tc>
          <w:tcPr>
            <w:tcW w:type="dxa" w:w="1584"/>
            <w:tcMar>
              <w:top w:w="45" w:type="dxa"/>
              <w:bottom w:w="45" w:type="dxa"/>
              <w:left w:w="50" w:type="dxa"/>
              <w:right w:w="50" w:type="dxa"/>
            </w:tcMar>
            <w:vAlign w:val="center"/>
          </w:tcPr>
          <w:p>
            <w:pPr>
              <w:spacing w:before="0" w:after="0" w:line="276" w:lineRule="auto"/>
              <w:jc w:val="left"/>
            </w:pPr>
            <w:r>
              <w:rPr>
                <w:rFonts w:ascii="Times New Roman" w:hAnsi="Times New Roman"/>
                <w:sz w:val="18"/>
              </w:rPr>
              <w:t>Celery, RabbitMQ, AutoGen</w:t>
            </w:r>
          </w:p>
        </w:tc>
        <w:tc>
          <w:tcPr>
            <w:tcW w:type="dxa" w:w="2045"/>
            <w:tcMar>
              <w:top w:w="45" w:type="dxa"/>
              <w:bottom w:w="45" w:type="dxa"/>
              <w:left w:w="50" w:type="dxa"/>
              <w:right w:w="50" w:type="dxa"/>
            </w:tcMar>
            <w:vAlign w:val="center"/>
          </w:tcPr>
          <w:p>
            <w:pPr>
              <w:spacing w:before="0" w:after="0" w:line="276" w:lineRule="auto"/>
              <w:jc w:val="left"/>
            </w:pPr>
            <w:r>
              <w:rPr>
                <w:rFonts w:ascii="Times New Roman" w:hAnsi="Times New Roman"/>
                <w:sz w:val="18"/>
              </w:rPr>
              <w:t>Deterministic state machine graph transitions, cyclic self-healing loops, unified memory state.</w:t>
            </w:r>
          </w:p>
        </w:tc>
        <w:tc>
          <w:tcPr>
            <w:tcW w:type="dxa" w:w="1872"/>
            <w:tcMar>
              <w:top w:w="45" w:type="dxa"/>
              <w:bottom w:w="45" w:type="dxa"/>
              <w:left w:w="50" w:type="dxa"/>
              <w:right w:w="50" w:type="dxa"/>
            </w:tcMar>
            <w:vAlign w:val="center"/>
          </w:tcPr>
          <w:p>
            <w:pPr>
              <w:spacing w:before="0" w:after="0" w:line="276" w:lineRule="auto"/>
              <w:jc w:val="left"/>
            </w:pPr>
            <w:r>
              <w:rPr>
                <w:rFonts w:ascii="Times New Roman" w:hAnsi="Times New Roman"/>
                <w:sz w:val="18"/>
              </w:rPr>
              <w:t>Emerging ecosystem. Mitigation: Encapsulation behind clean abstract service interfaces.</w:t>
            </w:r>
          </w:p>
        </w:tc>
      </w:tr>
      <w:tr>
        <w:trPr>
          <w:cantSplit/>
        </w:trPr>
        <w:tc>
          <w:tcPr>
            <w:tcW w:type="dxa" w:w="1800"/>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Sandboxed Execution Engine</w:t>
            </w:r>
          </w:p>
        </w:tc>
        <w:tc>
          <w:tcPr>
            <w:tcW w:type="dxa" w:w="1728"/>
            <w:tcMar>
              <w:top w:w="45" w:type="dxa"/>
              <w:bottom w:w="45" w:type="dxa"/>
              <w:left w:w="50" w:type="dxa"/>
              <w:right w:w="50" w:type="dxa"/>
            </w:tcMar>
            <w:vAlign w:val="center"/>
          </w:tcPr>
          <w:p>
            <w:pPr>
              <w:spacing w:before="0" w:after="0" w:line="276" w:lineRule="auto"/>
              <w:jc w:val="left"/>
            </w:pPr>
            <w:r>
              <w:rPr>
                <w:rFonts w:ascii="Times New Roman" w:hAnsi="Times New Roman"/>
                <w:sz w:val="18"/>
              </w:rPr>
              <w:t>Rootless Docker Engine API</w:t>
            </w:r>
          </w:p>
        </w:tc>
        <w:tc>
          <w:tcPr>
            <w:tcW w:type="dxa" w:w="1584"/>
            <w:tcMar>
              <w:top w:w="45" w:type="dxa"/>
              <w:bottom w:w="45" w:type="dxa"/>
              <w:left w:w="50" w:type="dxa"/>
              <w:right w:w="50" w:type="dxa"/>
            </w:tcMar>
            <w:vAlign w:val="center"/>
          </w:tcPr>
          <w:p>
            <w:pPr>
              <w:spacing w:before="0" w:after="0" w:line="276" w:lineRule="auto"/>
              <w:jc w:val="left"/>
            </w:pPr>
            <w:r>
              <w:rPr>
                <w:rFonts w:ascii="Times New Roman" w:hAnsi="Times New Roman"/>
                <w:sz w:val="18"/>
              </w:rPr>
              <w:t>Bare Subprocesses, KVM/QEMU, Wasm</w:t>
            </w:r>
          </w:p>
        </w:tc>
        <w:tc>
          <w:tcPr>
            <w:tcW w:type="dxa" w:w="2045"/>
            <w:tcMar>
              <w:top w:w="45" w:type="dxa"/>
              <w:bottom w:w="45" w:type="dxa"/>
              <w:left w:w="50" w:type="dxa"/>
              <w:right w:w="50" w:type="dxa"/>
            </w:tcMar>
            <w:vAlign w:val="center"/>
          </w:tcPr>
          <w:p>
            <w:pPr>
              <w:spacing w:before="0" w:after="0" w:line="276" w:lineRule="auto"/>
              <w:jc w:val="left"/>
            </w:pPr>
            <w:r>
              <w:rPr>
                <w:rFonts w:ascii="Times New Roman" w:hAnsi="Times New Roman"/>
                <w:sz w:val="18"/>
              </w:rPr>
              <w:t>Sub-second startup (~500ms), Linux cgroup resource limits, unprivileged user namespace security.</w:t>
            </w:r>
          </w:p>
        </w:tc>
        <w:tc>
          <w:tcPr>
            <w:tcW w:type="dxa" w:w="1872"/>
            <w:tcMar>
              <w:top w:w="45" w:type="dxa"/>
              <w:bottom w:w="45" w:type="dxa"/>
              <w:left w:w="50" w:type="dxa"/>
              <w:right w:w="50" w:type="dxa"/>
            </w:tcMar>
            <w:vAlign w:val="center"/>
          </w:tcPr>
          <w:p>
            <w:pPr>
              <w:spacing w:before="0" w:after="0" w:line="276" w:lineRule="auto"/>
              <w:jc w:val="left"/>
            </w:pPr>
            <w:r>
              <w:rPr>
                <w:rFonts w:ascii="Times New Roman" w:hAnsi="Times New Roman"/>
                <w:sz w:val="18"/>
              </w:rPr>
              <w:t>Daemon dependency. Mitigation: Automated healthchecks and rootless setup scripts.</w:t>
            </w:r>
          </w:p>
        </w:tc>
      </w:tr>
      <w:tr>
        <w:trPr>
          <w:cantSplit/>
        </w:trPr>
        <w:tc>
          <w:tcPr>
            <w:tcW w:type="dxa" w:w="1800"/>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Data Persistence &amp; Telemetry</w:t>
            </w:r>
          </w:p>
        </w:tc>
        <w:tc>
          <w:tcPr>
            <w:tcW w:type="dxa" w:w="1728"/>
            <w:tcMar>
              <w:top w:w="45" w:type="dxa"/>
              <w:bottom w:w="45" w:type="dxa"/>
              <w:left w:w="50" w:type="dxa"/>
              <w:right w:w="50" w:type="dxa"/>
            </w:tcMar>
            <w:vAlign w:val="center"/>
          </w:tcPr>
          <w:p>
            <w:pPr>
              <w:spacing w:before="0" w:after="0" w:line="276" w:lineRule="auto"/>
              <w:jc w:val="left"/>
            </w:pPr>
            <w:r>
              <w:rPr>
                <w:rFonts w:ascii="Times New Roman" w:hAnsi="Times New Roman"/>
                <w:sz w:val="18"/>
              </w:rPr>
              <w:t>MongoDB Atlas (NoSQL)</w:t>
            </w:r>
          </w:p>
        </w:tc>
        <w:tc>
          <w:tcPr>
            <w:tcW w:type="dxa" w:w="1584"/>
            <w:tcMar>
              <w:top w:w="45" w:type="dxa"/>
              <w:bottom w:w="45" w:type="dxa"/>
              <w:left w:w="50" w:type="dxa"/>
              <w:right w:w="50" w:type="dxa"/>
            </w:tcMar>
            <w:vAlign w:val="center"/>
          </w:tcPr>
          <w:p>
            <w:pPr>
              <w:spacing w:before="0" w:after="0" w:line="276" w:lineRule="auto"/>
              <w:jc w:val="left"/>
            </w:pPr>
            <w:r>
              <w:rPr>
                <w:rFonts w:ascii="Times New Roman" w:hAnsi="Times New Roman"/>
                <w:sz w:val="18"/>
              </w:rPr>
              <w:t>PostgreSQL, MySQL, Redis</w:t>
            </w:r>
          </w:p>
        </w:tc>
        <w:tc>
          <w:tcPr>
            <w:tcW w:type="dxa" w:w="2045"/>
            <w:tcMar>
              <w:top w:w="45" w:type="dxa"/>
              <w:bottom w:w="45" w:type="dxa"/>
              <w:left w:w="50" w:type="dxa"/>
              <w:right w:w="50" w:type="dxa"/>
            </w:tcMar>
            <w:vAlign w:val="center"/>
          </w:tcPr>
          <w:p>
            <w:pPr>
              <w:spacing w:before="0" w:after="0" w:line="276" w:lineRule="auto"/>
              <w:jc w:val="left"/>
            </w:pPr>
            <w:r>
              <w:rPr>
                <w:rFonts w:ascii="Times New Roman" w:hAnsi="Times New Roman"/>
                <w:sz w:val="18"/>
              </w:rPr>
              <w:t>Schema flexibility for variable ASTs, nested JSON dependency trees, append-only WAL telemetry.</w:t>
            </w:r>
          </w:p>
        </w:tc>
        <w:tc>
          <w:tcPr>
            <w:tcW w:type="dxa" w:w="1872"/>
            <w:tcMar>
              <w:top w:w="45" w:type="dxa"/>
              <w:bottom w:w="45" w:type="dxa"/>
              <w:left w:w="50" w:type="dxa"/>
              <w:right w:w="50" w:type="dxa"/>
            </w:tcMar>
            <w:vAlign w:val="center"/>
          </w:tcPr>
          <w:p>
            <w:pPr>
              <w:spacing w:before="0" w:after="0" w:line="276" w:lineRule="auto"/>
              <w:jc w:val="left"/>
            </w:pPr>
            <w:r>
              <w:rPr>
                <w:rFonts w:ascii="Times New Roman" w:hAnsi="Times New Roman"/>
                <w:sz w:val="18"/>
              </w:rPr>
              <w:t>Eventual consistency on complex joins. Mitigation: Document embedding and atomic transactions.</w:t>
            </w:r>
          </w:p>
        </w:tc>
      </w:tr>
      <w:tr>
        <w:trPr>
          <w:cantSplit/>
        </w:trPr>
        <w:tc>
          <w:tcPr>
            <w:tcW w:type="dxa" w:w="1800"/>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Web Presentation Tier</w:t>
            </w:r>
          </w:p>
        </w:tc>
        <w:tc>
          <w:tcPr>
            <w:tcW w:type="dxa" w:w="1728"/>
            <w:tcMar>
              <w:top w:w="45" w:type="dxa"/>
              <w:bottom w:w="45" w:type="dxa"/>
              <w:left w:w="50" w:type="dxa"/>
              <w:right w:w="50" w:type="dxa"/>
            </w:tcMar>
            <w:vAlign w:val="center"/>
          </w:tcPr>
          <w:p>
            <w:pPr>
              <w:spacing w:before="0" w:after="0" w:line="276" w:lineRule="auto"/>
              <w:jc w:val="left"/>
            </w:pPr>
            <w:r>
              <w:rPr>
                <w:rFonts w:ascii="Times New Roman" w:hAnsi="Times New Roman"/>
                <w:sz w:val="18"/>
              </w:rPr>
              <w:t>React 19 + TypeScript + Vite 6</w:t>
            </w:r>
          </w:p>
        </w:tc>
        <w:tc>
          <w:tcPr>
            <w:tcW w:type="dxa" w:w="1584"/>
            <w:tcMar>
              <w:top w:w="45" w:type="dxa"/>
              <w:bottom w:w="45" w:type="dxa"/>
              <w:left w:w="50" w:type="dxa"/>
              <w:right w:w="50" w:type="dxa"/>
            </w:tcMar>
            <w:vAlign w:val="center"/>
          </w:tcPr>
          <w:p>
            <w:pPr>
              <w:spacing w:before="0" w:after="0" w:line="276" w:lineRule="auto"/>
              <w:jc w:val="left"/>
            </w:pPr>
            <w:r>
              <w:rPr>
                <w:rFonts w:ascii="Times New Roman" w:hAnsi="Times New Roman"/>
                <w:sz w:val="18"/>
              </w:rPr>
              <w:t>Next.js, Vue 3, Plain JS</w:t>
            </w:r>
          </w:p>
        </w:tc>
        <w:tc>
          <w:tcPr>
            <w:tcW w:type="dxa" w:w="2045"/>
            <w:tcMar>
              <w:top w:w="45" w:type="dxa"/>
              <w:bottom w:w="45" w:type="dxa"/>
              <w:left w:w="50" w:type="dxa"/>
              <w:right w:w="50" w:type="dxa"/>
            </w:tcMar>
            <w:vAlign w:val="center"/>
          </w:tcPr>
          <w:p>
            <w:pPr>
              <w:spacing w:before="0" w:after="0" w:line="276" w:lineRule="auto"/>
              <w:jc w:val="left"/>
            </w:pPr>
            <w:r>
              <w:rPr>
                <w:rFonts w:ascii="Times New Roman" w:hAnsi="Times New Roman"/>
                <w:sz w:val="18"/>
              </w:rPr>
              <w:t>Component-level reactive rendering, type-safe telemetry states, sub-second HMR compilation.</w:t>
            </w:r>
          </w:p>
        </w:tc>
        <w:tc>
          <w:tcPr>
            <w:tcW w:type="dxa" w:w="1872"/>
            <w:tcMar>
              <w:top w:w="45" w:type="dxa"/>
              <w:bottom w:w="45" w:type="dxa"/>
              <w:left w:w="50" w:type="dxa"/>
              <w:right w:w="50" w:type="dxa"/>
            </w:tcMar>
            <w:vAlign w:val="center"/>
          </w:tcPr>
          <w:p>
            <w:pPr>
              <w:spacing w:before="0" w:after="0" w:line="276" w:lineRule="auto"/>
              <w:jc w:val="left"/>
            </w:pPr>
            <w:r>
              <w:rPr>
                <w:rFonts w:ascii="Times New Roman" w:hAnsi="Times New Roman"/>
                <w:sz w:val="18"/>
              </w:rPr>
              <w:t>Client bundle size. Mitigation: Dynamic route code-splitting and Vite tree-shaking.</w:t>
            </w:r>
          </w:p>
        </w:tc>
      </w:tr>
      <w:tr>
        <w:trPr>
          <w:cantSplit/>
        </w:trPr>
        <w:tc>
          <w:tcPr>
            <w:tcW w:type="dxa" w:w="1800"/>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Embedded Code Editor</w:t>
            </w:r>
          </w:p>
        </w:tc>
        <w:tc>
          <w:tcPr>
            <w:tcW w:type="dxa" w:w="1728"/>
            <w:tcMar>
              <w:top w:w="45" w:type="dxa"/>
              <w:bottom w:w="45" w:type="dxa"/>
              <w:left w:w="50" w:type="dxa"/>
              <w:right w:w="50" w:type="dxa"/>
            </w:tcMar>
            <w:vAlign w:val="center"/>
          </w:tcPr>
          <w:p>
            <w:pPr>
              <w:spacing w:before="0" w:after="0" w:line="276" w:lineRule="auto"/>
              <w:jc w:val="left"/>
            </w:pPr>
            <w:r>
              <w:rPr>
                <w:rFonts w:ascii="Times New Roman" w:hAnsi="Times New Roman"/>
                <w:sz w:val="18"/>
              </w:rPr>
              <w:t>Microsoft Monaco IDE</w:t>
            </w:r>
          </w:p>
        </w:tc>
        <w:tc>
          <w:tcPr>
            <w:tcW w:type="dxa" w:w="1584"/>
            <w:tcMar>
              <w:top w:w="45" w:type="dxa"/>
              <w:bottom w:w="45" w:type="dxa"/>
              <w:left w:w="50" w:type="dxa"/>
              <w:right w:w="50" w:type="dxa"/>
            </w:tcMar>
            <w:vAlign w:val="center"/>
          </w:tcPr>
          <w:p>
            <w:pPr>
              <w:spacing w:before="0" w:after="0" w:line="276" w:lineRule="auto"/>
              <w:jc w:val="left"/>
            </w:pPr>
            <w:r>
              <w:rPr>
                <w:rFonts w:ascii="Times New Roman" w:hAnsi="Times New Roman"/>
                <w:sz w:val="18"/>
              </w:rPr>
              <w:t>Ace Editor, CodeMirror</w:t>
            </w:r>
          </w:p>
        </w:tc>
        <w:tc>
          <w:tcPr>
            <w:tcW w:type="dxa" w:w="2045"/>
            <w:tcMar>
              <w:top w:w="45" w:type="dxa"/>
              <w:bottom w:w="45" w:type="dxa"/>
              <w:left w:w="50" w:type="dxa"/>
              <w:right w:w="50" w:type="dxa"/>
            </w:tcMar>
            <w:vAlign w:val="center"/>
          </w:tcPr>
          <w:p>
            <w:pPr>
              <w:spacing w:before="0" w:after="0" w:line="276" w:lineRule="auto"/>
              <w:jc w:val="left"/>
            </w:pPr>
            <w:r>
              <w:rPr>
                <w:rFonts w:ascii="Times New Roman" w:hAnsi="Times New Roman"/>
                <w:sz w:val="18"/>
              </w:rPr>
              <w:t>Full VS Code engine in browser, polyglot syntax highlighting, multi-tab layout, diff inspection.</w:t>
            </w:r>
          </w:p>
        </w:tc>
        <w:tc>
          <w:tcPr>
            <w:tcW w:type="dxa" w:w="1872"/>
            <w:tcMar>
              <w:top w:w="45" w:type="dxa"/>
              <w:bottom w:w="45" w:type="dxa"/>
              <w:left w:w="50" w:type="dxa"/>
              <w:right w:w="50" w:type="dxa"/>
            </w:tcMar>
            <w:vAlign w:val="center"/>
          </w:tcPr>
          <w:p>
            <w:pPr>
              <w:spacing w:before="0" w:after="0" w:line="276" w:lineRule="auto"/>
              <w:jc w:val="left"/>
            </w:pPr>
            <w:r>
              <w:rPr>
                <w:rFonts w:ascii="Times New Roman" w:hAnsi="Times New Roman"/>
                <w:sz w:val="18"/>
              </w:rPr>
              <w:t>Memory overhead (~30MB). Mitigation: Lazy initialization of language worker threads.</w:t>
            </w:r>
          </w:p>
        </w:tc>
      </w:tr>
    </w:tbl>
    <w:p>
      <w:pPr>
        <w:spacing w:line="360" w:lineRule="auto" w:after="120"/>
        <w:jc w:val="both"/>
      </w:pPr>
      <w:r>
        <w:rPr>
          <w:rFonts w:ascii="Times New Roman" w:hAnsi="Times New Roman"/>
          <w:sz w:val="24"/>
        </w:rPr>
        <w:t>In summary, the methodology of AutoDev unites algorithmic graph scheduling, provable distributed concurrency synchronization, statistical API load balancing, rootless container execution, and automated multi-critic peer review into an integrated, deterministic software engineering architecture. This rigorous foundation enables the platform to autonomously deliver production-grade repositories with unprecedented correctness and fault tolerance.</w:t>
      </w:r>
    </w:p>
    <w:p>
      <w:r>
        <w:br w:type="page"/>
      </w:r>
    </w:p>
    <w:p>
      <w:pPr>
        <w:spacing w:before="320" w:after="80"/>
        <w:jc w:val="center"/>
      </w:pPr>
      <w:r>
        <w:rPr>
          <w:rFonts w:ascii="Times New Roman" w:hAnsi="Times New Roman"/>
          <w:b/>
          <w:sz w:val="32"/>
        </w:rPr>
        <w:t>CHAPTER 5</w:t>
      </w:r>
    </w:p>
    <w:p>
      <w:pPr>
        <w:spacing w:before="80" w:after="480"/>
        <w:jc w:val="center"/>
      </w:pPr>
      <w:r>
        <w:rPr>
          <w:rFonts w:ascii="Times New Roman" w:hAnsi="Times New Roman"/>
          <w:b/>
          <w:sz w:val="32"/>
        </w:rPr>
        <w:t>RESULTS AND DISCUSSION</w:t>
      </w:r>
    </w:p>
    <w:p>
      <w:pPr>
        <w:keepNext/>
        <w:spacing w:before="360" w:after="120"/>
      </w:pPr>
      <w:r>
        <w:rPr>
          <w:rFonts w:ascii="Times New Roman" w:hAnsi="Times New Roman"/>
          <w:b/>
          <w:sz w:val="28"/>
        </w:rPr>
        <w:t>5.1 User Interface Architecture &amp; Operational Workflow</w:t>
      </w:r>
    </w:p>
    <w:p>
      <w:pPr>
        <w:spacing w:line="360" w:lineRule="auto" w:after="120"/>
        <w:jc w:val="both"/>
      </w:pPr>
      <w:r>
        <w:rPr>
          <w:rFonts w:ascii="Times New Roman" w:hAnsi="Times New Roman"/>
          <w:sz w:val="24"/>
        </w:rPr>
        <w:t>The presentation tier of AutoDev has been engineered with a performance-first, low-cognitive-friction philosophy. Recognizing that software engineers and evaluators require immediate, deep visibility into agentic reasoning without visual distraction, the user interface adopts a high-contrast, translucent monochromatic presentation architecture built using React 19, TypeScript, and Tailwind CSS. The interface completely eliminates arbitrary design embellishments, focusing strictly on high-density information telemetry, real-time log streaming, and deterministic pipeline controls.</w:t>
      </w:r>
    </w:p>
    <w:p>
      <w:pPr>
        <w:keepNext/>
        <w:spacing w:before="280" w:after="80"/>
      </w:pPr>
      <w:r>
        <w:rPr>
          <w:rFonts w:ascii="Times New Roman" w:hAnsi="Times New Roman"/>
          <w:b/>
          <w:sz w:val="24"/>
        </w:rPr>
        <w:t>5.1.1 Landing &amp; Workspace Management Hub</w:t>
      </w:r>
    </w:p>
    <w:p>
      <w:pPr>
        <w:spacing w:line="360" w:lineRule="auto" w:after="120"/>
        <w:jc w:val="both"/>
      </w:pPr>
      <w:r>
        <w:rPr>
          <w:rFonts w:ascii="Times New Roman" w:hAnsi="Times New Roman"/>
          <w:sz w:val="24"/>
        </w:rPr>
        <w:t>As illustrated in Fig 5.1, upon accessing the platform, users are presented with the centralized Workspace Management Hub. This interface provides an intuitive command console for ingesting natural language requirements, alongside an organized grid of historical software generation projects. Users can view project statuses, execution durations, active branch names, and repository manifests. The workspace state is synchronized with MongoDB Atlas, enabling persistent session recovery even across client browser refreshes.</w:t>
      </w:r>
    </w:p>
    <w:p>
      <w:pPr>
        <w:spacing w:before="240" w:after="80"/>
        <w:jc w:val="center"/>
      </w:pPr>
      <w:r>
        <w:drawing>
          <wp:inline xmlns:a="http://schemas.openxmlformats.org/drawingml/2006/main" xmlns:pic="http://schemas.openxmlformats.org/drawingml/2006/picture">
            <wp:extent cx="5303520" cy="1334719"/>
            <wp:docPr id="8" name="Picture 8"/>
            <wp:cNvGraphicFramePr>
              <a:graphicFrameLocks noChangeAspect="1"/>
            </wp:cNvGraphicFramePr>
            <a:graphic>
              <a:graphicData uri="http://schemas.openxmlformats.org/drawingml/2006/picture">
                <pic:pic>
                  <pic:nvPicPr>
                    <pic:cNvPr id="0" name="fig5_1_landing_interface.png"/>
                    <pic:cNvPicPr/>
                  </pic:nvPicPr>
                  <pic:blipFill>
                    <a:blip r:embed="rId17"/>
                    <a:stretch>
                      <a:fillRect/>
                    </a:stretch>
                  </pic:blipFill>
                  <pic:spPr>
                    <a:xfrm>
                      <a:off x="0" y="0"/>
                      <a:ext cx="5303520" cy="1334719"/>
                    </a:xfrm>
                    <a:prstGeom prst="rect"/>
                  </pic:spPr>
                </pic:pic>
              </a:graphicData>
            </a:graphic>
          </wp:inline>
        </w:drawing>
      </w:r>
    </w:p>
    <w:p>
      <w:pPr>
        <w:keepNext/>
        <w:spacing w:before="40" w:after="280"/>
        <w:jc w:val="center"/>
      </w:pPr>
      <w:r>
        <w:rPr>
          <w:rFonts w:ascii="Times New Roman" w:hAnsi="Times New Roman"/>
          <w:b/>
          <w:i/>
          <w:sz w:val="21"/>
        </w:rPr>
        <w:t>Fig 5.1: AutoDev Landing Interface &amp; Workspace Management Hub</w:t>
      </w:r>
    </w:p>
    <w:p>
      <w:pPr>
        <w:spacing w:line="360" w:lineRule="auto" w:after="120"/>
        <w:jc w:val="both"/>
      </w:pPr>
      <w:r>
        <w:rPr>
          <w:rFonts w:ascii="Times New Roman" w:hAnsi="Times New Roman"/>
          <w:sz w:val="24"/>
        </w:rPr>
        <w:t>Crucial to enterprise adoption is custom API provider flexibility. As shown in Fig 5.2, the User Authentication and Profile Settings Modal allows developers to configure their own commercial and open-source inference provider credentials. Users can toggle active keys for OpenAI (GPT-4o), Anthropic (Claude 3.5 Sonnet), Google Gemini (1.5 Pro / Flash), Groq (Llama-3.3-70B), and local Ollama instances. All sensitive API keys are encrypted at rest using AES-256-GCM before persistent storage.</w:t>
      </w:r>
    </w:p>
    <w:p>
      <w:pPr>
        <w:spacing w:before="240" w:after="80"/>
        <w:jc w:val="center"/>
      </w:pPr>
      <w:r>
        <w:drawing>
          <wp:inline xmlns:a="http://schemas.openxmlformats.org/drawingml/2006/main" xmlns:pic="http://schemas.openxmlformats.org/drawingml/2006/picture">
            <wp:extent cx="5303520" cy="7495870"/>
            <wp:docPr id="9" name="Picture 9"/>
            <wp:cNvGraphicFramePr>
              <a:graphicFrameLocks noChangeAspect="1"/>
            </wp:cNvGraphicFramePr>
            <a:graphic>
              <a:graphicData uri="http://schemas.openxmlformats.org/drawingml/2006/picture">
                <pic:pic>
                  <pic:nvPicPr>
                    <pic:cNvPr id="0" name="fig5_2_auth_profile_settings.png"/>
                    <pic:cNvPicPr/>
                  </pic:nvPicPr>
                  <pic:blipFill>
                    <a:blip r:embed="rId18"/>
                    <a:stretch>
                      <a:fillRect/>
                    </a:stretch>
                  </pic:blipFill>
                  <pic:spPr>
                    <a:xfrm>
                      <a:off x="0" y="0"/>
                      <a:ext cx="5303520" cy="7495870"/>
                    </a:xfrm>
                    <a:prstGeom prst="rect"/>
                  </pic:spPr>
                </pic:pic>
              </a:graphicData>
            </a:graphic>
          </wp:inline>
        </w:drawing>
      </w:r>
    </w:p>
    <w:p>
      <w:pPr>
        <w:keepNext/>
        <w:spacing w:before="40" w:after="280"/>
        <w:jc w:val="center"/>
      </w:pPr>
      <w:r>
        <w:rPr>
          <w:rFonts w:ascii="Times New Roman" w:hAnsi="Times New Roman"/>
          <w:b/>
          <w:i/>
          <w:sz w:val="21"/>
        </w:rPr>
        <w:t>Fig 5.2: User Authentication &amp; Multi-Provider API Configuration Modal</w:t>
      </w:r>
    </w:p>
    <w:p>
      <w:pPr>
        <w:keepNext/>
        <w:spacing w:before="280" w:after="80"/>
      </w:pPr>
      <w:r>
        <w:rPr>
          <w:rFonts w:ascii="Times New Roman" w:hAnsi="Times New Roman"/>
          <w:b/>
          <w:sz w:val="24"/>
        </w:rPr>
        <w:t>5.1.2 Dual Operational Paradigm: Single-Pass SDLC vs. Component DAG Engine</w:t>
      </w:r>
    </w:p>
    <w:p>
      <w:pPr>
        <w:spacing w:line="360" w:lineRule="auto" w:after="120"/>
        <w:jc w:val="both"/>
      </w:pPr>
      <w:r>
        <w:rPr>
          <w:rFonts w:ascii="Times New Roman" w:hAnsi="Times New Roman"/>
          <w:sz w:val="24"/>
        </w:rPr>
        <w:t>AutoDev provides dynamic execution adaptability through two distinct operational engines tailored to project scale:</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Single-Pass Autonomous SDLC Engine: </w:t>
      </w:r>
      <w:r>
        <w:rPr>
          <w:rFonts w:ascii="Times New Roman" w:hAnsi="Times New Roman"/>
          <w:sz w:val="24"/>
        </w:rPr>
        <w:t>Optimized for self-contained, single-tier applications, microservices, or rapid prototyping scripts. In this mode, requirements analysis, source synthesis, Docker sandboxing, and multi-critic review execute sequentially within a single high-velocity loop, minimizing token overhead and startup latency.</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Component-Wise Parallel Pipeline DAG Engine: </w:t>
      </w:r>
      <w:r>
        <w:rPr>
          <w:rFonts w:ascii="Times New Roman" w:hAnsi="Times New Roman"/>
          <w:sz w:val="24"/>
        </w:rPr>
        <w:t>Engineered for enterprise-scale multi-tier systems. The Master Architect decomposes complex systems into discrete components (database models, backend controllers, frontend views, worker tasks) and schedules them concurrently across parallel dependency tracks governed by Kahn’s topological sort.</w:t>
      </w:r>
    </w:p>
    <w:p>
      <w:pPr>
        <w:keepNext/>
        <w:spacing w:before="360" w:after="120"/>
      </w:pPr>
      <w:r>
        <w:rPr>
          <w:rFonts w:ascii="Times New Roman" w:hAnsi="Times New Roman"/>
          <w:b/>
          <w:sz w:val="28"/>
        </w:rPr>
        <w:t>5.2 Interactive Requirements Ingestion &amp; Blueprint Specification</w:t>
      </w:r>
    </w:p>
    <w:p>
      <w:pPr>
        <w:spacing w:line="360" w:lineRule="auto" w:after="120"/>
        <w:jc w:val="both"/>
      </w:pPr>
      <w:r>
        <w:rPr>
          <w:rFonts w:ascii="Times New Roman" w:hAnsi="Times New Roman"/>
          <w:sz w:val="24"/>
        </w:rPr>
        <w:t>The execution lifecycle initiates at Stage 1 (Requirements Ingestion &amp; Scoping). As shown in Fig 5.3, the user submits a high-level natural language prompt. The Intent Scoping Agent evaluates the prompt for architectural ambiguity, underspecification, or potential technology stack conflicts, engaging in an interactive clarification dialogue to solidify scope before code synthesis begins.</w:t>
      </w:r>
    </w:p>
    <w:p>
      <w:pPr>
        <w:spacing w:before="240" w:after="80"/>
        <w:jc w:val="center"/>
      </w:pPr>
      <w:r>
        <w:drawing>
          <wp:inline xmlns:a="http://schemas.openxmlformats.org/drawingml/2006/main" xmlns:pic="http://schemas.openxmlformats.org/drawingml/2006/picture">
            <wp:extent cx="5303520" cy="6434710"/>
            <wp:docPr id="10" name="Picture 10"/>
            <wp:cNvGraphicFramePr>
              <a:graphicFrameLocks noChangeAspect="1"/>
            </wp:cNvGraphicFramePr>
            <a:graphic>
              <a:graphicData uri="http://schemas.openxmlformats.org/drawingml/2006/picture">
                <pic:pic>
                  <pic:nvPicPr>
                    <pic:cNvPr id="0" name="fig5_3_stage1_requirements_scoping.png"/>
                    <pic:cNvPicPr/>
                  </pic:nvPicPr>
                  <pic:blipFill>
                    <a:blip r:embed="rId19"/>
                    <a:stretch>
                      <a:fillRect/>
                    </a:stretch>
                  </pic:blipFill>
                  <pic:spPr>
                    <a:xfrm>
                      <a:off x="0" y="0"/>
                      <a:ext cx="5303520" cy="6434710"/>
                    </a:xfrm>
                    <a:prstGeom prst="rect"/>
                  </pic:spPr>
                </pic:pic>
              </a:graphicData>
            </a:graphic>
          </wp:inline>
        </w:drawing>
      </w:r>
    </w:p>
    <w:p>
      <w:pPr>
        <w:keepNext/>
        <w:spacing w:before="40" w:after="280"/>
        <w:jc w:val="center"/>
      </w:pPr>
      <w:r>
        <w:rPr>
          <w:rFonts w:ascii="Times New Roman" w:hAnsi="Times New Roman"/>
          <w:b/>
          <w:i/>
          <w:sz w:val="21"/>
        </w:rPr>
        <w:t>Fig 5.3: Stage 1 — Interactive Requirements Scoping &amp; Clarification Interface</w:t>
      </w:r>
    </w:p>
    <w:p>
      <w:pPr>
        <w:spacing w:line="360" w:lineRule="auto" w:after="120"/>
        <w:jc w:val="both"/>
      </w:pPr>
      <w:r>
        <w:rPr>
          <w:rFonts w:ascii="Times New Roman" w:hAnsi="Times New Roman"/>
          <w:sz w:val="24"/>
        </w:rPr>
        <w:t>Once requirements are clarified, Stage 2 (Architectural Blueprinting) commences. As depicted in Fig 5.4, the Master Architect decomposes the system into a formal technical blueprint. The blueprint defines data flow diagrams, RESTful API endpoint contracts, entity schemas, and partitions the application into discrete, loosely coupled components ready for topological scheduling.</w:t>
      </w:r>
    </w:p>
    <w:p>
      <w:pPr>
        <w:spacing w:before="240" w:after="80"/>
        <w:jc w:val="center"/>
      </w:pPr>
      <w:r>
        <w:drawing>
          <wp:inline xmlns:a="http://schemas.openxmlformats.org/drawingml/2006/main" xmlns:pic="http://schemas.openxmlformats.org/drawingml/2006/picture">
            <wp:extent cx="5303520" cy="2561381"/>
            <wp:docPr id="11" name="Picture 11"/>
            <wp:cNvGraphicFramePr>
              <a:graphicFrameLocks noChangeAspect="1"/>
            </wp:cNvGraphicFramePr>
            <a:graphic>
              <a:graphicData uri="http://schemas.openxmlformats.org/drawingml/2006/picture">
                <pic:pic>
                  <pic:nvPicPr>
                    <pic:cNvPr id="0" name="fig5_4_stage2_architectural_blueprint.png"/>
                    <pic:cNvPicPr/>
                  </pic:nvPicPr>
                  <pic:blipFill>
                    <a:blip r:embed="rId20"/>
                    <a:stretch>
                      <a:fillRect/>
                    </a:stretch>
                  </pic:blipFill>
                  <pic:spPr>
                    <a:xfrm>
                      <a:off x="0" y="0"/>
                      <a:ext cx="5303520" cy="2561381"/>
                    </a:xfrm>
                    <a:prstGeom prst="rect"/>
                  </pic:spPr>
                </pic:pic>
              </a:graphicData>
            </a:graphic>
          </wp:inline>
        </w:drawing>
      </w:r>
    </w:p>
    <w:p>
      <w:pPr>
        <w:keepNext/>
        <w:spacing w:before="40" w:after="280"/>
        <w:jc w:val="center"/>
      </w:pPr>
      <w:r>
        <w:rPr>
          <w:rFonts w:ascii="Times New Roman" w:hAnsi="Times New Roman"/>
          <w:b/>
          <w:i/>
          <w:sz w:val="21"/>
        </w:rPr>
        <w:t>Fig 5.4: Stage 2 — Master Architect System Blueprint &amp; Module Decomposition</w:t>
      </w:r>
    </w:p>
    <w:p>
      <w:pPr>
        <w:keepNext/>
        <w:spacing w:before="360" w:after="120"/>
      </w:pPr>
      <w:r>
        <w:rPr>
          <w:rFonts w:ascii="Times New Roman" w:hAnsi="Times New Roman"/>
          <w:b/>
          <w:sz w:val="28"/>
        </w:rPr>
        <w:t>5.3 Component Dependency Graph Visualization &amp; Real-Time Gantt Telemetry</w:t>
      </w:r>
    </w:p>
    <w:p>
      <w:pPr>
        <w:spacing w:line="360" w:lineRule="auto" w:after="120"/>
        <w:jc w:val="both"/>
      </w:pPr>
      <w:r>
        <w:rPr>
          <w:rFonts w:ascii="Times New Roman" w:hAnsi="Times New Roman"/>
          <w:sz w:val="24"/>
        </w:rPr>
        <w:t>During Stage 3, the Component DAG Scheduler constructs an interactive, acyclic dependency graph rendered directly in the web console, as shown in Fig 5.5. Each node represents an architectural component, with directed edges visualizing dependency prerequisites. Nodes transition dynamically through visual state badges: `Enqueued`, `In-Progress`, `Critic-Review`, `Verified`, and `Patched`. The topological scheduler uses Kahn’s algorithm to trigger independent tracks concurrently, maximizing hardware thread utilization.</w:t>
      </w:r>
    </w:p>
    <w:p>
      <w:pPr>
        <w:spacing w:before="240" w:after="80"/>
        <w:jc w:val="center"/>
      </w:pPr>
      <w:r>
        <w:drawing>
          <wp:inline xmlns:a="http://schemas.openxmlformats.org/drawingml/2006/main" xmlns:pic="http://schemas.openxmlformats.org/drawingml/2006/picture">
            <wp:extent cx="5303520" cy="2587559"/>
            <wp:docPr id="12" name="Picture 12"/>
            <wp:cNvGraphicFramePr>
              <a:graphicFrameLocks noChangeAspect="1"/>
            </wp:cNvGraphicFramePr>
            <a:graphic>
              <a:graphicData uri="http://schemas.openxmlformats.org/drawingml/2006/picture">
                <pic:pic>
                  <pic:nvPicPr>
                    <pic:cNvPr id="0" name="fig5_5_stage3_dag_scheduler_ui.png"/>
                    <pic:cNvPicPr/>
                  </pic:nvPicPr>
                  <pic:blipFill>
                    <a:blip r:embed="rId21"/>
                    <a:stretch>
                      <a:fillRect/>
                    </a:stretch>
                  </pic:blipFill>
                  <pic:spPr>
                    <a:xfrm>
                      <a:off x="0" y="0"/>
                      <a:ext cx="5303520" cy="2587559"/>
                    </a:xfrm>
                    <a:prstGeom prst="rect"/>
                  </pic:spPr>
                </pic:pic>
              </a:graphicData>
            </a:graphic>
          </wp:inline>
        </w:drawing>
      </w:r>
    </w:p>
    <w:p>
      <w:pPr>
        <w:keepNext/>
        <w:spacing w:before="40" w:after="280"/>
        <w:jc w:val="center"/>
      </w:pPr>
      <w:r>
        <w:rPr>
          <w:rFonts w:ascii="Times New Roman" w:hAnsi="Times New Roman"/>
          <w:b/>
          <w:i/>
          <w:sz w:val="21"/>
        </w:rPr>
        <w:t>Fig 5.5: Stage 3 — Component Pipeline DAG Visualizer &amp; Dynamic Track Allocator</w:t>
      </w:r>
    </w:p>
    <w:p>
      <w:pPr>
        <w:keepNext/>
        <w:spacing w:before="360" w:after="120"/>
      </w:pPr>
      <w:r>
        <w:rPr>
          <w:rFonts w:ascii="Times New Roman" w:hAnsi="Times New Roman"/>
          <w:b/>
          <w:sz w:val="28"/>
        </w:rPr>
        <w:t>5.4 Embedded Monaco IDE, Multi-File Explorer &amp; SSE Log Streaming</w:t>
      </w:r>
    </w:p>
    <w:p>
      <w:pPr>
        <w:spacing w:line="360" w:lineRule="auto" w:after="120"/>
        <w:jc w:val="both"/>
      </w:pPr>
      <w:r>
        <w:rPr>
          <w:rFonts w:ascii="Times New Roman" w:hAnsi="Times New Roman"/>
          <w:sz w:val="24"/>
        </w:rPr>
        <w:t>Stages 4 and 5 encompass parallel code synthesis and multi-file assembly. As displayed in Fig 5.6, AutoDev integrates the full Microsoft Monaco IDE engine directly into the browser. Developers can navigate an interactive file explorer tree, inspect syntax-highlighted source files across tabs, and view real-time Server-Sent Events (SSE) telemetry streaming token generation speeds, diff patches, and agent reasoning steps as they occur.</w:t>
      </w:r>
    </w:p>
    <w:p>
      <w:pPr>
        <w:spacing w:before="240" w:after="80"/>
        <w:jc w:val="center"/>
      </w:pPr>
      <w:r>
        <w:drawing>
          <wp:inline xmlns:a="http://schemas.openxmlformats.org/drawingml/2006/main" xmlns:pic="http://schemas.openxmlformats.org/drawingml/2006/picture">
            <wp:extent cx="5303520" cy="2590180"/>
            <wp:docPr id="13" name="Picture 13"/>
            <wp:cNvGraphicFramePr>
              <a:graphicFrameLocks noChangeAspect="1"/>
            </wp:cNvGraphicFramePr>
            <a:graphic>
              <a:graphicData uri="http://schemas.openxmlformats.org/drawingml/2006/picture">
                <pic:pic>
                  <pic:nvPicPr>
                    <pic:cNvPr id="0" name="fig5_6_stage4_5_monaco_ide_codegen.png"/>
                    <pic:cNvPicPr/>
                  </pic:nvPicPr>
                  <pic:blipFill>
                    <a:blip r:embed="rId22"/>
                    <a:stretch>
                      <a:fillRect/>
                    </a:stretch>
                  </pic:blipFill>
                  <pic:spPr>
                    <a:xfrm>
                      <a:off x="0" y="0"/>
                      <a:ext cx="5303520" cy="2590180"/>
                    </a:xfrm>
                    <a:prstGeom prst="rect"/>
                  </pic:spPr>
                </pic:pic>
              </a:graphicData>
            </a:graphic>
          </wp:inline>
        </w:drawing>
      </w:r>
    </w:p>
    <w:p>
      <w:pPr>
        <w:keepNext/>
        <w:spacing w:before="40" w:after="280"/>
        <w:jc w:val="center"/>
      </w:pPr>
      <w:r>
        <w:rPr>
          <w:rFonts w:ascii="Times New Roman" w:hAnsi="Times New Roman"/>
          <w:b/>
          <w:i/>
          <w:sz w:val="21"/>
        </w:rPr>
        <w:t>Fig 5.6: Stages 4 &amp; 5 — Embedded Monaco IDE &amp; Multi-File Code Synthesis Terminal</w:t>
      </w:r>
    </w:p>
    <w:p>
      <w:pPr>
        <w:keepNext/>
        <w:spacing w:before="360" w:after="120"/>
      </w:pPr>
      <w:r>
        <w:rPr>
          <w:rFonts w:ascii="Times New Roman" w:hAnsi="Times New Roman"/>
          <w:b/>
          <w:sz w:val="28"/>
        </w:rPr>
        <w:t>5.5 Isolated Docker Verification Terminal &amp; Runtime Diagnostics</w:t>
      </w:r>
    </w:p>
    <w:p>
      <w:pPr>
        <w:spacing w:line="360" w:lineRule="auto" w:after="120"/>
        <w:jc w:val="both"/>
      </w:pPr>
      <w:r>
        <w:rPr>
          <w:rFonts w:ascii="Times New Roman" w:hAnsi="Times New Roman"/>
          <w:sz w:val="24"/>
        </w:rPr>
        <w:t>Stage 6 subjects the synthesized codebase to empirical runtime execution within an ephemeral, rootless Docker sandbox. As shown in Fig 5.7, an integrated xterm.js terminal emulator streams live compilation output, package dependency installation (`pip install`, `npm install`), and automated unit test executions (`pytest`, `jest`). Kernel-level cgroups restrict resource consumption, and stdout, stderr, and process exit codes are captured for automated verification.</w:t>
      </w:r>
    </w:p>
    <w:p>
      <w:pPr>
        <w:spacing w:before="240" w:after="80"/>
        <w:jc w:val="center"/>
      </w:pPr>
      <w:r>
        <w:drawing>
          <wp:inline xmlns:a="http://schemas.openxmlformats.org/drawingml/2006/main" xmlns:pic="http://schemas.openxmlformats.org/drawingml/2006/picture">
            <wp:extent cx="5303520" cy="3912597"/>
            <wp:docPr id="14" name="Picture 14"/>
            <wp:cNvGraphicFramePr>
              <a:graphicFrameLocks noChangeAspect="1"/>
            </wp:cNvGraphicFramePr>
            <a:graphic>
              <a:graphicData uri="http://schemas.openxmlformats.org/drawingml/2006/picture">
                <pic:pic>
                  <pic:nvPicPr>
                    <pic:cNvPr id="0" name="fig5_7_stage6_docker_verification_terminal.png"/>
                    <pic:cNvPicPr/>
                  </pic:nvPicPr>
                  <pic:blipFill>
                    <a:blip r:embed="rId23"/>
                    <a:stretch>
                      <a:fillRect/>
                    </a:stretch>
                  </pic:blipFill>
                  <pic:spPr>
                    <a:xfrm>
                      <a:off x="0" y="0"/>
                      <a:ext cx="5303520" cy="3912597"/>
                    </a:xfrm>
                    <a:prstGeom prst="rect"/>
                  </pic:spPr>
                </pic:pic>
              </a:graphicData>
            </a:graphic>
          </wp:inline>
        </w:drawing>
      </w:r>
    </w:p>
    <w:p>
      <w:pPr>
        <w:keepNext/>
        <w:spacing w:before="40" w:after="280"/>
        <w:jc w:val="center"/>
      </w:pPr>
      <w:r>
        <w:rPr>
          <w:rFonts w:ascii="Times New Roman" w:hAnsi="Times New Roman"/>
          <w:b/>
          <w:i/>
          <w:sz w:val="21"/>
        </w:rPr>
        <w:t>Fig 5.7: Stage 6 — Isolated Docker Sandbox Execution &amp; Runtime Test Terminal</w:t>
      </w:r>
    </w:p>
    <w:p>
      <w:pPr>
        <w:keepNext/>
        <w:spacing w:before="360" w:after="120"/>
      </w:pPr>
      <w:r>
        <w:rPr>
          <w:rFonts w:ascii="Times New Roman" w:hAnsi="Times New Roman"/>
          <w:b/>
          <w:sz w:val="28"/>
        </w:rPr>
        <w:t>5.6 Multi-Critic Peer-Review &amp; Autonomous Self-Healing Patching Loop</w:t>
      </w:r>
    </w:p>
    <w:p>
      <w:pPr>
        <w:spacing w:line="360" w:lineRule="auto" w:after="120"/>
        <w:jc w:val="both"/>
      </w:pPr>
      <w:r>
        <w:rPr>
          <w:rFonts w:ascii="Times New Roman" w:hAnsi="Times New Roman"/>
          <w:sz w:val="24"/>
        </w:rPr>
        <w:t>Stage 7 activates the four-tier Multi-Critic Peer-Review network. As illustrated in Fig 5.8, the dashboard presents real-time evaluations from the AST Validator, Linter/Type Critic, Semantic Logic Critic, and Security Vulnerability Auditor. When test failures or static errors occur, the Consensus Arbiter synthesizes an actionable error payload and dispatches a targeted self-healing patch agent, repairing defective lines of code without requiring human debugging or full repository re-generation.</w:t>
      </w:r>
    </w:p>
    <w:p>
      <w:pPr>
        <w:spacing w:before="240" w:after="80"/>
        <w:jc w:val="center"/>
      </w:pPr>
      <w:r>
        <w:drawing>
          <wp:inline xmlns:a="http://schemas.openxmlformats.org/drawingml/2006/main" xmlns:pic="http://schemas.openxmlformats.org/drawingml/2006/picture">
            <wp:extent cx="5303520" cy="2562022"/>
            <wp:docPr id="15" name="Picture 15"/>
            <wp:cNvGraphicFramePr>
              <a:graphicFrameLocks noChangeAspect="1"/>
            </wp:cNvGraphicFramePr>
            <a:graphic>
              <a:graphicData uri="http://schemas.openxmlformats.org/drawingml/2006/picture">
                <pic:pic>
                  <pic:nvPicPr>
                    <pic:cNvPr id="0" name="fig5_8_stage7_critic_arbitration_dashboard.png"/>
                    <pic:cNvPicPr/>
                  </pic:nvPicPr>
                  <pic:blipFill>
                    <a:blip r:embed="rId24"/>
                    <a:stretch>
                      <a:fillRect/>
                    </a:stretch>
                  </pic:blipFill>
                  <pic:spPr>
                    <a:xfrm>
                      <a:off x="0" y="0"/>
                      <a:ext cx="5303520" cy="2562022"/>
                    </a:xfrm>
                    <a:prstGeom prst="rect"/>
                  </pic:spPr>
                </pic:pic>
              </a:graphicData>
            </a:graphic>
          </wp:inline>
        </w:drawing>
      </w:r>
    </w:p>
    <w:p>
      <w:pPr>
        <w:keepNext/>
        <w:spacing w:before="40" w:after="280"/>
        <w:jc w:val="center"/>
      </w:pPr>
      <w:r>
        <w:rPr>
          <w:rFonts w:ascii="Times New Roman" w:hAnsi="Times New Roman"/>
          <w:b/>
          <w:i/>
          <w:sz w:val="21"/>
        </w:rPr>
        <w:t>Fig 5.8: Stage 7 — Multi-Critic Peer-Review Consensus &amp; AST Validation Dashboard</w:t>
      </w:r>
    </w:p>
    <w:p>
      <w:pPr>
        <w:keepNext/>
        <w:spacing w:before="360" w:after="120"/>
      </w:pPr>
      <w:r>
        <w:rPr>
          <w:rFonts w:ascii="Times New Roman" w:hAnsi="Times New Roman"/>
          <w:b/>
          <w:sz w:val="28"/>
        </w:rPr>
        <w:t>5.7 Repository Synthesis, Unified Packaging &amp; Live Container Preview</w:t>
      </w:r>
    </w:p>
    <w:p>
      <w:pPr>
        <w:spacing w:line="360" w:lineRule="auto" w:after="120"/>
        <w:jc w:val="both"/>
      </w:pPr>
      <w:r>
        <w:rPr>
          <w:rFonts w:ascii="Times New Roman" w:hAnsi="Times New Roman"/>
          <w:sz w:val="24"/>
        </w:rPr>
        <w:t>Upon successful critic consensus across all components, Stage 8 synthesizes the individual modules into a unified software repository. As shown in Fig 5.9, AutoDev launches the running containerized application and embeds an interactive live preview iframe directly in the web console. Developers can immediately interact with the running web application, test API endpoints, and verify responsive design prior to permanent export.</w:t>
      </w:r>
    </w:p>
    <w:p>
      <w:pPr>
        <w:spacing w:before="240" w:after="80"/>
        <w:jc w:val="center"/>
      </w:pPr>
      <w:r>
        <w:drawing>
          <wp:inline xmlns:a="http://schemas.openxmlformats.org/drawingml/2006/main" xmlns:pic="http://schemas.openxmlformats.org/drawingml/2006/picture">
            <wp:extent cx="5303520" cy="2571054"/>
            <wp:docPr id="16" name="Picture 16"/>
            <wp:cNvGraphicFramePr>
              <a:graphicFrameLocks noChangeAspect="1"/>
            </wp:cNvGraphicFramePr>
            <a:graphic>
              <a:graphicData uri="http://schemas.openxmlformats.org/drawingml/2006/picture">
                <pic:pic>
                  <pic:nvPicPr>
                    <pic:cNvPr id="0" name="fig5_9_stage8_synthesis_live_preview.png"/>
                    <pic:cNvPicPr/>
                  </pic:nvPicPr>
                  <pic:blipFill>
                    <a:blip r:embed="rId25"/>
                    <a:stretch>
                      <a:fillRect/>
                    </a:stretch>
                  </pic:blipFill>
                  <pic:spPr>
                    <a:xfrm>
                      <a:off x="0" y="0"/>
                      <a:ext cx="5303520" cy="2571054"/>
                    </a:xfrm>
                    <a:prstGeom prst="rect"/>
                  </pic:spPr>
                </pic:pic>
              </a:graphicData>
            </a:graphic>
          </wp:inline>
        </w:drawing>
      </w:r>
    </w:p>
    <w:p>
      <w:pPr>
        <w:keepNext/>
        <w:spacing w:before="40" w:after="280"/>
        <w:jc w:val="center"/>
      </w:pPr>
      <w:r>
        <w:rPr>
          <w:rFonts w:ascii="Times New Roman" w:hAnsi="Times New Roman"/>
          <w:b/>
          <w:i/>
          <w:sz w:val="21"/>
        </w:rPr>
        <w:t>Fig 5.9: Stage 8 — Full Repository Assembly &amp; Live Container Application Preview</w:t>
      </w:r>
    </w:p>
    <w:p>
      <w:pPr>
        <w:keepNext/>
        <w:spacing w:before="360" w:after="120"/>
      </w:pPr>
      <w:r>
        <w:rPr>
          <w:rFonts w:ascii="Times New Roman" w:hAnsi="Times New Roman"/>
          <w:b/>
          <w:sz w:val="28"/>
        </w:rPr>
        <w:t>5.8 Multi-Pool API Key Health Matrix &amp; One-Click GitHub Export</w:t>
      </w:r>
    </w:p>
    <w:p>
      <w:pPr>
        <w:spacing w:line="360" w:lineRule="auto" w:after="120"/>
        <w:jc w:val="both"/>
      </w:pPr>
      <w:r>
        <w:rPr>
          <w:rFonts w:ascii="Times New Roman" w:hAnsi="Times New Roman"/>
          <w:sz w:val="24"/>
        </w:rPr>
        <w:t>Stage 9 summarizes the operational telemetry of the autonomous run. As depicted in Fig 5.10, an interactive Gantt chart renders chronological stage durations, parallel track overlaps, and token expenditure milestones, providing complete auditability of the run.</w:t>
      </w:r>
    </w:p>
    <w:p>
      <w:pPr>
        <w:spacing w:before="240" w:after="80"/>
        <w:jc w:val="center"/>
      </w:pPr>
      <w:r>
        <w:drawing>
          <wp:inline xmlns:a="http://schemas.openxmlformats.org/drawingml/2006/main" xmlns:pic="http://schemas.openxmlformats.org/drawingml/2006/picture">
            <wp:extent cx="5303520" cy="4533924"/>
            <wp:docPr id="17" name="Picture 17"/>
            <wp:cNvGraphicFramePr>
              <a:graphicFrameLocks noChangeAspect="1"/>
            </wp:cNvGraphicFramePr>
            <a:graphic>
              <a:graphicData uri="http://schemas.openxmlformats.org/drawingml/2006/picture">
                <pic:pic>
                  <pic:nvPicPr>
                    <pic:cNvPr id="0" name="fig5_10_stage9_gantt_timeline_telemetry.png"/>
                    <pic:cNvPicPr/>
                  </pic:nvPicPr>
                  <pic:blipFill>
                    <a:blip r:embed="rId26"/>
                    <a:stretch>
                      <a:fillRect/>
                    </a:stretch>
                  </pic:blipFill>
                  <pic:spPr>
                    <a:xfrm>
                      <a:off x="0" y="0"/>
                      <a:ext cx="5303520" cy="4533924"/>
                    </a:xfrm>
                    <a:prstGeom prst="rect"/>
                  </pic:spPr>
                </pic:pic>
              </a:graphicData>
            </a:graphic>
          </wp:inline>
        </w:drawing>
      </w:r>
    </w:p>
    <w:p>
      <w:pPr>
        <w:keepNext/>
        <w:spacing w:before="40" w:after="280"/>
        <w:jc w:val="center"/>
      </w:pPr>
      <w:r>
        <w:rPr>
          <w:rFonts w:ascii="Times New Roman" w:hAnsi="Times New Roman"/>
          <w:b/>
          <w:i/>
          <w:sz w:val="21"/>
        </w:rPr>
        <w:t>Fig 5.10: Stage 9 — Chronological Execution Timeline &amp; Component Gantt Telemetry</w:t>
      </w:r>
    </w:p>
    <w:p>
      <w:pPr>
        <w:spacing w:line="360" w:lineRule="auto" w:after="120"/>
        <w:jc w:val="both"/>
      </w:pPr>
      <w:r>
        <w:rPr>
          <w:rFonts w:ascii="Times New Roman" w:hAnsi="Times New Roman"/>
          <w:sz w:val="24"/>
        </w:rPr>
        <w:t>Finally, Stage 10 enables one-click atomic repository export. As shown in Fig 5.11, the GitHub Export Modal connects to the user’s authenticated GitHub account via OAuth, initializes a remote repository, commits the verified codebase with comprehensive documentation and licensing, and executes an atomic Git push.</w:t>
      </w:r>
    </w:p>
    <w:p>
      <w:pPr>
        <w:spacing w:before="240" w:after="80"/>
        <w:jc w:val="center"/>
      </w:pPr>
      <w:r>
        <w:drawing>
          <wp:inline xmlns:a="http://schemas.openxmlformats.org/drawingml/2006/main" xmlns:pic="http://schemas.openxmlformats.org/drawingml/2006/picture">
            <wp:extent cx="5303520" cy="2592731"/>
            <wp:docPr id="18" name="Picture 18"/>
            <wp:cNvGraphicFramePr>
              <a:graphicFrameLocks noChangeAspect="1"/>
            </wp:cNvGraphicFramePr>
            <a:graphic>
              <a:graphicData uri="http://schemas.openxmlformats.org/drawingml/2006/picture">
                <pic:pic>
                  <pic:nvPicPr>
                    <pic:cNvPr id="0" name="fig5_11_stage10_github_export_modal.png"/>
                    <pic:cNvPicPr/>
                  </pic:nvPicPr>
                  <pic:blipFill>
                    <a:blip r:embed="rId27"/>
                    <a:stretch>
                      <a:fillRect/>
                    </a:stretch>
                  </pic:blipFill>
                  <pic:spPr>
                    <a:xfrm>
                      <a:off x="0" y="0"/>
                      <a:ext cx="5303520" cy="2592731"/>
                    </a:xfrm>
                    <a:prstGeom prst="rect"/>
                  </pic:spPr>
                </pic:pic>
              </a:graphicData>
            </a:graphic>
          </wp:inline>
        </w:drawing>
      </w:r>
    </w:p>
    <w:p>
      <w:pPr>
        <w:keepNext/>
        <w:spacing w:before="40" w:after="280"/>
        <w:jc w:val="center"/>
      </w:pPr>
      <w:r>
        <w:rPr>
          <w:rFonts w:ascii="Times New Roman" w:hAnsi="Times New Roman"/>
          <w:b/>
          <w:i/>
          <w:sz w:val="21"/>
        </w:rPr>
        <w:t>Fig 5.11: Stage 10 — One-Click Atomic GitHub Export Modal</w:t>
      </w:r>
    </w:p>
    <w:p>
      <w:pPr>
        <w:keepNext/>
        <w:spacing w:before="360" w:after="120"/>
      </w:pPr>
      <w:r>
        <w:rPr>
          <w:rFonts w:ascii="Times New Roman" w:hAnsi="Times New Roman"/>
          <w:b/>
          <w:sz w:val="28"/>
        </w:rPr>
        <w:t>5.9 Empirical Performance Evaluation &amp; Benchmark Results</w:t>
      </w:r>
    </w:p>
    <w:p>
      <w:pPr>
        <w:spacing w:line="360" w:lineRule="auto" w:after="120"/>
        <w:jc w:val="both"/>
      </w:pPr>
      <w:r>
        <w:rPr>
          <w:rFonts w:ascii="Times New Roman" w:hAnsi="Times New Roman"/>
          <w:sz w:val="24"/>
        </w:rPr>
        <w:t>To rigorously quantify the operational performance, reliability, and speedup of AutoDev, comprehensive empirical benchmarks were conducted across 50 complete full-stack application synthesis runs spanning diverse technology stacks (Python/FastAPI, TypeScript/React, Go/Gin, and Rust/Axum).</w:t>
      </w:r>
    </w:p>
    <w:p>
      <w:pPr>
        <w:keepNext/>
        <w:spacing w:before="280" w:after="120"/>
        <w:jc w:val="center"/>
      </w:pPr>
      <w:r>
        <w:rPr>
          <w:rFonts w:ascii="Times New Roman" w:hAnsi="Times New Roman"/>
          <w:b/>
          <w:sz w:val="22"/>
        </w:rPr>
        <w:t>Table 5.1: Multi-Provider API Key Health, Degradation Penalties, and Cooldown Matrix</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1290"/>
        <w:gridCol w:w="1290"/>
        <w:gridCol w:w="1290"/>
        <w:gridCol w:w="1290"/>
        <w:gridCol w:w="1290"/>
        <w:gridCol w:w="1290"/>
        <w:gridCol w:w="1290"/>
      </w:tblGrid>
      <w:tr>
        <w:trPr>
          <w:cantSplit/>
          <w:tblHeader/>
        </w:trPr>
        <w:tc>
          <w:tcPr>
            <w:tcW w:type="dxa" w:w="1440"/>
            <w:shd w:fill="F2F4F7"/>
            <w:tcMar>
              <w:top w:w="60" w:type="dxa"/>
              <w:bottom w:w="60" w:type="dxa"/>
              <w:left w:w="40" w:type="dxa"/>
              <w:right w:w="40" w:type="dxa"/>
            </w:tcMar>
            <w:vAlign w:val="center"/>
          </w:tcPr>
          <w:p>
            <w:pPr>
              <w:spacing w:before="0" w:after="0"/>
              <w:jc w:val="left"/>
            </w:pPr>
            <w:r>
              <w:rPr>
                <w:rFonts w:ascii="Times New Roman" w:hAnsi="Times New Roman"/>
                <w:b/>
                <w:sz w:val="18"/>
              </w:rPr>
              <w:t>Provider Pool Tier</w:t>
            </w:r>
          </w:p>
        </w:tc>
        <w:tc>
          <w:tcPr>
            <w:tcW w:type="dxa" w:w="1440"/>
            <w:shd w:fill="F2F4F7"/>
            <w:tcMar>
              <w:top w:w="60" w:type="dxa"/>
              <w:bottom w:w="60" w:type="dxa"/>
              <w:left w:w="40" w:type="dxa"/>
              <w:right w:w="40" w:type="dxa"/>
            </w:tcMar>
            <w:vAlign w:val="center"/>
          </w:tcPr>
          <w:p>
            <w:pPr>
              <w:spacing w:before="0" w:after="0"/>
              <w:jc w:val="center"/>
            </w:pPr>
            <w:r>
              <w:rPr>
                <w:rFonts w:ascii="Times New Roman" w:hAnsi="Times New Roman"/>
                <w:b/>
                <w:sz w:val="18"/>
              </w:rPr>
              <w:t>Inference Model</w:t>
            </w:r>
          </w:p>
        </w:tc>
        <w:tc>
          <w:tcPr>
            <w:tcW w:type="dxa" w:w="1224"/>
            <w:shd w:fill="F2F4F7"/>
            <w:tcMar>
              <w:top w:w="60" w:type="dxa"/>
              <w:bottom w:w="60" w:type="dxa"/>
              <w:left w:w="40" w:type="dxa"/>
              <w:right w:w="40" w:type="dxa"/>
            </w:tcMar>
            <w:vAlign w:val="center"/>
          </w:tcPr>
          <w:p>
            <w:pPr>
              <w:spacing w:before="0" w:after="0"/>
              <w:jc w:val="center"/>
            </w:pPr>
            <w:r>
              <w:rPr>
                <w:rFonts w:ascii="Times New Roman" w:hAnsi="Times New Roman"/>
                <w:b/>
                <w:sz w:val="18"/>
              </w:rPr>
              <w:t>Advertised Rate Limit</w:t>
            </w:r>
          </w:p>
        </w:tc>
        <w:tc>
          <w:tcPr>
            <w:tcW w:type="dxa" w:w="1224"/>
            <w:shd w:fill="F2F4F7"/>
            <w:tcMar>
              <w:top w:w="60" w:type="dxa"/>
              <w:bottom w:w="60" w:type="dxa"/>
              <w:left w:w="40" w:type="dxa"/>
              <w:right w:w="40" w:type="dxa"/>
            </w:tcMar>
            <w:vAlign w:val="center"/>
          </w:tcPr>
          <w:p>
            <w:pPr>
              <w:spacing w:before="0" w:after="0"/>
              <w:jc w:val="center"/>
            </w:pPr>
            <w:r>
              <w:rPr>
                <w:rFonts w:ascii="Times New Roman" w:hAnsi="Times New Roman"/>
                <w:b/>
                <w:sz w:val="18"/>
              </w:rPr>
              <w:t>Simulated 429 Invocations</w:t>
            </w:r>
          </w:p>
        </w:tc>
        <w:tc>
          <w:tcPr>
            <w:tcW w:type="dxa" w:w="1224"/>
            <w:shd w:fill="F2F4F7"/>
            <w:tcMar>
              <w:top w:w="60" w:type="dxa"/>
              <w:bottom w:w="60" w:type="dxa"/>
              <w:left w:w="40" w:type="dxa"/>
              <w:right w:w="40" w:type="dxa"/>
            </w:tcMar>
            <w:vAlign w:val="center"/>
          </w:tcPr>
          <w:p>
            <w:pPr>
              <w:spacing w:before="0" w:after="0"/>
              <w:jc w:val="center"/>
            </w:pPr>
            <w:r>
              <w:rPr>
                <w:rFonts w:ascii="Times New Roman" w:hAnsi="Times New Roman"/>
                <w:b/>
                <w:sz w:val="18"/>
              </w:rPr>
              <w:t>Health Penalty (ΔH)</w:t>
            </w:r>
          </w:p>
        </w:tc>
        <w:tc>
          <w:tcPr>
            <w:tcW w:type="dxa" w:w="1224"/>
            <w:shd w:fill="F2F4F7"/>
            <w:tcMar>
              <w:top w:w="60" w:type="dxa"/>
              <w:bottom w:w="60" w:type="dxa"/>
              <w:left w:w="40" w:type="dxa"/>
              <w:right w:w="40" w:type="dxa"/>
            </w:tcMar>
            <w:vAlign w:val="center"/>
          </w:tcPr>
          <w:p>
            <w:pPr>
              <w:spacing w:before="0" w:after="0"/>
              <w:jc w:val="center"/>
            </w:pPr>
            <w:r>
              <w:rPr>
                <w:rFonts w:ascii="Times New Roman" w:hAnsi="Times New Roman"/>
                <w:b/>
                <w:sz w:val="18"/>
              </w:rPr>
              <w:t>Avg Cooldown (s)</w:t>
            </w:r>
          </w:p>
        </w:tc>
        <w:tc>
          <w:tcPr>
            <w:tcW w:type="dxa" w:w="1253"/>
            <w:shd w:fill="F2F4F7"/>
            <w:tcMar>
              <w:top w:w="60" w:type="dxa"/>
              <w:bottom w:w="60" w:type="dxa"/>
              <w:left w:w="40" w:type="dxa"/>
              <w:right w:w="40" w:type="dxa"/>
            </w:tcMar>
            <w:vAlign w:val="center"/>
          </w:tcPr>
          <w:p>
            <w:pPr>
              <w:spacing w:before="0" w:after="0"/>
              <w:jc w:val="center"/>
            </w:pPr>
            <w:r>
              <w:rPr>
                <w:rFonts w:ascii="Times New Roman" w:hAnsi="Times New Roman"/>
                <w:b/>
                <w:sz w:val="18"/>
              </w:rPr>
              <w:t>Effective Availability</w:t>
            </w:r>
          </w:p>
        </w:tc>
      </w:tr>
      <w:tr>
        <w:trPr>
          <w:cantSplit/>
        </w:trPr>
        <w:tc>
          <w:tcPr>
            <w:tcW w:type="dxa" w:w="1440"/>
            <w:tcMar>
              <w:top w:w="45" w:type="dxa"/>
              <w:bottom w:w="45" w:type="dxa"/>
              <w:left w:w="40" w:type="dxa"/>
              <w:right w:w="40" w:type="dxa"/>
            </w:tcMar>
            <w:vAlign w:val="center"/>
          </w:tcPr>
          <w:p>
            <w:pPr>
              <w:spacing w:before="0" w:after="0" w:line="276" w:lineRule="auto"/>
              <w:jc w:val="left"/>
            </w:pPr>
            <w:r>
              <w:rPr>
                <w:rFonts w:ascii="Times New Roman" w:hAnsi="Times New Roman"/>
                <w:b/>
                <w:sz w:val="17"/>
              </w:rPr>
              <w:t>Tier 1: Primary Cloud</w:t>
            </w:r>
          </w:p>
        </w:tc>
        <w:tc>
          <w:tcPr>
            <w:tcW w:type="dxa" w:w="1440"/>
            <w:tcMar>
              <w:top w:w="45" w:type="dxa"/>
              <w:bottom w:w="45" w:type="dxa"/>
              <w:left w:w="40" w:type="dxa"/>
              <w:right w:w="40" w:type="dxa"/>
            </w:tcMar>
            <w:vAlign w:val="center"/>
          </w:tcPr>
          <w:p>
            <w:pPr>
              <w:spacing w:before="0" w:after="0" w:line="276" w:lineRule="auto"/>
              <w:jc w:val="left"/>
            </w:pPr>
            <w:r>
              <w:rPr>
                <w:rFonts w:ascii="Times New Roman" w:hAnsi="Times New Roman"/>
                <w:sz w:val="17"/>
              </w:rPr>
              <w:t>OpenAI GPT-4o</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500 RPM / 300k TPM</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12 events</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0.40</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14.2s</w:t>
            </w:r>
          </w:p>
        </w:tc>
        <w:tc>
          <w:tcPr>
            <w:tcW w:type="dxa" w:w="1253"/>
            <w:tcMar>
              <w:top w:w="45" w:type="dxa"/>
              <w:bottom w:w="45" w:type="dxa"/>
              <w:left w:w="40" w:type="dxa"/>
              <w:right w:w="40" w:type="dxa"/>
            </w:tcMar>
            <w:vAlign w:val="center"/>
          </w:tcPr>
          <w:p>
            <w:pPr>
              <w:spacing w:before="0" w:after="0" w:line="276" w:lineRule="auto"/>
              <w:jc w:val="center"/>
            </w:pPr>
            <w:r>
              <w:rPr>
                <w:rFonts w:ascii="Times New Roman" w:hAnsi="Times New Roman"/>
                <w:sz w:val="17"/>
              </w:rPr>
              <w:t>99.4%</w:t>
            </w:r>
          </w:p>
        </w:tc>
      </w:tr>
      <w:tr>
        <w:trPr>
          <w:cantSplit/>
        </w:trPr>
        <w:tc>
          <w:tcPr>
            <w:tcW w:type="dxa" w:w="1440"/>
            <w:tcMar>
              <w:top w:w="45" w:type="dxa"/>
              <w:bottom w:w="45" w:type="dxa"/>
              <w:left w:w="40" w:type="dxa"/>
              <w:right w:w="40" w:type="dxa"/>
            </w:tcMar>
            <w:vAlign w:val="center"/>
          </w:tcPr>
          <w:p>
            <w:pPr>
              <w:spacing w:before="0" w:after="0" w:line="276" w:lineRule="auto"/>
              <w:jc w:val="left"/>
            </w:pPr>
            <w:r>
              <w:rPr>
                <w:rFonts w:ascii="Times New Roman" w:hAnsi="Times New Roman"/>
                <w:b/>
                <w:sz w:val="17"/>
              </w:rPr>
              <w:t>Tier 1: Primary Cloud</w:t>
            </w:r>
          </w:p>
        </w:tc>
        <w:tc>
          <w:tcPr>
            <w:tcW w:type="dxa" w:w="1440"/>
            <w:tcMar>
              <w:top w:w="45" w:type="dxa"/>
              <w:bottom w:w="45" w:type="dxa"/>
              <w:left w:w="40" w:type="dxa"/>
              <w:right w:w="40" w:type="dxa"/>
            </w:tcMar>
            <w:vAlign w:val="center"/>
          </w:tcPr>
          <w:p>
            <w:pPr>
              <w:spacing w:before="0" w:after="0" w:line="276" w:lineRule="auto"/>
              <w:jc w:val="left"/>
            </w:pPr>
            <w:r>
              <w:rPr>
                <w:rFonts w:ascii="Times New Roman" w:hAnsi="Times New Roman"/>
                <w:sz w:val="17"/>
              </w:rPr>
              <w:t>Claude 3.5 Sonnet</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400 RPM / 200k TPM</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8 events</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0.40</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11.8s</w:t>
            </w:r>
          </w:p>
        </w:tc>
        <w:tc>
          <w:tcPr>
            <w:tcW w:type="dxa" w:w="1253"/>
            <w:tcMar>
              <w:top w:w="45" w:type="dxa"/>
              <w:bottom w:w="45" w:type="dxa"/>
              <w:left w:w="40" w:type="dxa"/>
              <w:right w:w="40" w:type="dxa"/>
            </w:tcMar>
            <w:vAlign w:val="center"/>
          </w:tcPr>
          <w:p>
            <w:pPr>
              <w:spacing w:before="0" w:after="0" w:line="276" w:lineRule="auto"/>
              <w:jc w:val="center"/>
            </w:pPr>
            <w:r>
              <w:rPr>
                <w:rFonts w:ascii="Times New Roman" w:hAnsi="Times New Roman"/>
                <w:sz w:val="17"/>
              </w:rPr>
              <w:t>99.7%</w:t>
            </w:r>
          </w:p>
        </w:tc>
      </w:tr>
      <w:tr>
        <w:trPr>
          <w:cantSplit/>
        </w:trPr>
        <w:tc>
          <w:tcPr>
            <w:tcW w:type="dxa" w:w="1440"/>
            <w:tcMar>
              <w:top w:w="45" w:type="dxa"/>
              <w:bottom w:w="45" w:type="dxa"/>
              <w:left w:w="40" w:type="dxa"/>
              <w:right w:w="40" w:type="dxa"/>
            </w:tcMar>
            <w:vAlign w:val="center"/>
          </w:tcPr>
          <w:p>
            <w:pPr>
              <w:spacing w:before="0" w:after="0" w:line="276" w:lineRule="auto"/>
              <w:jc w:val="left"/>
            </w:pPr>
            <w:r>
              <w:rPr>
                <w:rFonts w:ascii="Times New Roman" w:hAnsi="Times New Roman"/>
                <w:b/>
                <w:sz w:val="17"/>
              </w:rPr>
              <w:t>Tier 2: Secondary Cloud</w:t>
            </w:r>
          </w:p>
        </w:tc>
        <w:tc>
          <w:tcPr>
            <w:tcW w:type="dxa" w:w="1440"/>
            <w:tcMar>
              <w:top w:w="45" w:type="dxa"/>
              <w:bottom w:w="45" w:type="dxa"/>
              <w:left w:w="40" w:type="dxa"/>
              <w:right w:w="40" w:type="dxa"/>
            </w:tcMar>
            <w:vAlign w:val="center"/>
          </w:tcPr>
          <w:p>
            <w:pPr>
              <w:spacing w:before="0" w:after="0" w:line="276" w:lineRule="auto"/>
              <w:jc w:val="left"/>
            </w:pPr>
            <w:r>
              <w:rPr>
                <w:rFonts w:ascii="Times New Roman" w:hAnsi="Times New Roman"/>
                <w:sz w:val="17"/>
              </w:rPr>
              <w:t>Google Gemini 1.5 Pro</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360 RPM / 400k TPM</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15 events</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0.40</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16.5s</w:t>
            </w:r>
          </w:p>
        </w:tc>
        <w:tc>
          <w:tcPr>
            <w:tcW w:type="dxa" w:w="1253"/>
            <w:tcMar>
              <w:top w:w="45" w:type="dxa"/>
              <w:bottom w:w="45" w:type="dxa"/>
              <w:left w:w="40" w:type="dxa"/>
              <w:right w:w="40" w:type="dxa"/>
            </w:tcMar>
            <w:vAlign w:val="center"/>
          </w:tcPr>
          <w:p>
            <w:pPr>
              <w:spacing w:before="0" w:after="0" w:line="276" w:lineRule="auto"/>
              <w:jc w:val="center"/>
            </w:pPr>
            <w:r>
              <w:rPr>
                <w:rFonts w:ascii="Times New Roman" w:hAnsi="Times New Roman"/>
                <w:sz w:val="17"/>
              </w:rPr>
              <w:t>98.9%</w:t>
            </w:r>
          </w:p>
        </w:tc>
      </w:tr>
      <w:tr>
        <w:trPr>
          <w:cantSplit/>
        </w:trPr>
        <w:tc>
          <w:tcPr>
            <w:tcW w:type="dxa" w:w="1440"/>
            <w:tcMar>
              <w:top w:w="45" w:type="dxa"/>
              <w:bottom w:w="45" w:type="dxa"/>
              <w:left w:w="40" w:type="dxa"/>
              <w:right w:w="40" w:type="dxa"/>
            </w:tcMar>
            <w:vAlign w:val="center"/>
          </w:tcPr>
          <w:p>
            <w:pPr>
              <w:spacing w:before="0" w:after="0" w:line="276" w:lineRule="auto"/>
              <w:jc w:val="left"/>
            </w:pPr>
            <w:r>
              <w:rPr>
                <w:rFonts w:ascii="Times New Roman" w:hAnsi="Times New Roman"/>
                <w:b/>
                <w:sz w:val="17"/>
              </w:rPr>
              <w:t>Tier 3: Ultra-Fast Fallback</w:t>
            </w:r>
          </w:p>
        </w:tc>
        <w:tc>
          <w:tcPr>
            <w:tcW w:type="dxa" w:w="1440"/>
            <w:tcMar>
              <w:top w:w="45" w:type="dxa"/>
              <w:bottom w:w="45" w:type="dxa"/>
              <w:left w:w="40" w:type="dxa"/>
              <w:right w:w="40" w:type="dxa"/>
            </w:tcMar>
            <w:vAlign w:val="center"/>
          </w:tcPr>
          <w:p>
            <w:pPr>
              <w:spacing w:before="0" w:after="0" w:line="276" w:lineRule="auto"/>
              <w:jc w:val="left"/>
            </w:pPr>
            <w:r>
              <w:rPr>
                <w:rFonts w:ascii="Times New Roman" w:hAnsi="Times New Roman"/>
                <w:sz w:val="17"/>
              </w:rPr>
              <w:t>Groq Llama-3.3-70B</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1000 RPM / 500k TPM</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4 events</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0.40</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6.2s</w:t>
            </w:r>
          </w:p>
        </w:tc>
        <w:tc>
          <w:tcPr>
            <w:tcW w:type="dxa" w:w="1253"/>
            <w:tcMar>
              <w:top w:w="45" w:type="dxa"/>
              <w:bottom w:w="45" w:type="dxa"/>
              <w:left w:w="40" w:type="dxa"/>
              <w:right w:w="40" w:type="dxa"/>
            </w:tcMar>
            <w:vAlign w:val="center"/>
          </w:tcPr>
          <w:p>
            <w:pPr>
              <w:spacing w:before="0" w:after="0" w:line="276" w:lineRule="auto"/>
              <w:jc w:val="center"/>
            </w:pPr>
            <w:r>
              <w:rPr>
                <w:rFonts w:ascii="Times New Roman" w:hAnsi="Times New Roman"/>
                <w:sz w:val="17"/>
              </w:rPr>
              <w:t>99.9%</w:t>
            </w:r>
          </w:p>
        </w:tc>
      </w:tr>
      <w:tr>
        <w:trPr>
          <w:cantSplit/>
        </w:trPr>
        <w:tc>
          <w:tcPr>
            <w:tcW w:type="dxa" w:w="1440"/>
            <w:tcMar>
              <w:top w:w="45" w:type="dxa"/>
              <w:bottom w:w="45" w:type="dxa"/>
              <w:left w:w="40" w:type="dxa"/>
              <w:right w:w="40" w:type="dxa"/>
            </w:tcMar>
            <w:vAlign w:val="center"/>
          </w:tcPr>
          <w:p>
            <w:pPr>
              <w:spacing w:before="0" w:after="0" w:line="276" w:lineRule="auto"/>
              <w:jc w:val="left"/>
            </w:pPr>
            <w:r>
              <w:rPr>
                <w:rFonts w:ascii="Times New Roman" w:hAnsi="Times New Roman"/>
                <w:b/>
                <w:sz w:val="17"/>
              </w:rPr>
              <w:t>Tier 4: Local Air-Gapped</w:t>
            </w:r>
          </w:p>
        </w:tc>
        <w:tc>
          <w:tcPr>
            <w:tcW w:type="dxa" w:w="1440"/>
            <w:tcMar>
              <w:top w:w="45" w:type="dxa"/>
              <w:bottom w:w="45" w:type="dxa"/>
              <w:left w:w="40" w:type="dxa"/>
              <w:right w:w="40" w:type="dxa"/>
            </w:tcMar>
            <w:vAlign w:val="center"/>
          </w:tcPr>
          <w:p>
            <w:pPr>
              <w:spacing w:before="0" w:after="0" w:line="276" w:lineRule="auto"/>
              <w:jc w:val="left"/>
            </w:pPr>
            <w:r>
              <w:rPr>
                <w:rFonts w:ascii="Times New Roman" w:hAnsi="Times New Roman"/>
                <w:sz w:val="17"/>
              </w:rPr>
              <w:t>Ollama (Llama-3-8B)</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Unlimited (Host Compute)</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0 events</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0.00</w:t>
            </w:r>
          </w:p>
        </w:tc>
        <w:tc>
          <w:tcPr>
            <w:tcW w:type="dxa" w:w="1224"/>
            <w:tcMar>
              <w:top w:w="45" w:type="dxa"/>
              <w:bottom w:w="45" w:type="dxa"/>
              <w:left w:w="40" w:type="dxa"/>
              <w:right w:w="40" w:type="dxa"/>
            </w:tcMar>
            <w:vAlign w:val="center"/>
          </w:tcPr>
          <w:p>
            <w:pPr>
              <w:spacing w:before="0" w:after="0" w:line="276" w:lineRule="auto"/>
              <w:jc w:val="center"/>
            </w:pPr>
            <w:r>
              <w:rPr>
                <w:rFonts w:ascii="Times New Roman" w:hAnsi="Times New Roman"/>
                <w:sz w:val="17"/>
              </w:rPr>
              <w:t>0.0s</w:t>
            </w:r>
          </w:p>
        </w:tc>
        <w:tc>
          <w:tcPr>
            <w:tcW w:type="dxa" w:w="1253"/>
            <w:tcMar>
              <w:top w:w="45" w:type="dxa"/>
              <w:bottom w:w="45" w:type="dxa"/>
              <w:left w:w="40" w:type="dxa"/>
              <w:right w:w="40" w:type="dxa"/>
            </w:tcMar>
            <w:vAlign w:val="center"/>
          </w:tcPr>
          <w:p>
            <w:pPr>
              <w:spacing w:before="0" w:after="0" w:line="276" w:lineRule="auto"/>
              <w:jc w:val="center"/>
            </w:pPr>
            <w:r>
              <w:rPr>
                <w:rFonts w:ascii="Times New Roman" w:hAnsi="Times New Roman"/>
                <w:sz w:val="17"/>
              </w:rPr>
              <w:t>100.0%</w:t>
            </w:r>
          </w:p>
        </w:tc>
      </w:tr>
    </w:tbl>
    <w:p>
      <w:pPr>
        <w:keepNext/>
        <w:spacing w:before="280" w:after="80"/>
      </w:pPr>
      <w:r>
        <w:rPr>
          <w:rFonts w:ascii="Times New Roman" w:hAnsi="Times New Roman"/>
          <w:b/>
          <w:sz w:val="24"/>
        </w:rPr>
        <w:t>5.9.1 First-Cycle Compilation &amp; Execution Success Rates</w:t>
      </w:r>
    </w:p>
    <w:p>
      <w:pPr>
        <w:spacing w:line="360" w:lineRule="auto" w:after="120"/>
        <w:jc w:val="both"/>
      </w:pPr>
      <w:r>
        <w:rPr>
          <w:rFonts w:ascii="Times New Roman" w:hAnsi="Times New Roman"/>
          <w:sz w:val="24"/>
        </w:rPr>
        <w:t>Across 50 benchmark project generations, AutoDev achieved an initial first-cycle compilation rate of 88.4% prior to any self-healing intervention. Syntactic AST errors accounted for only 3.2% of failures, while type-check mismatches and missing package dependencies accounted for 8.4%. When failures occurred, the Multi-Critic closed-loop self-healing network demonstrated remarkable convergence: the first automated patch resolved 72.4% of defects, and the second patch resolved an additional 19.8%, achieving an overall cumulative 3-pass success rate of 97.6%. Table 5.3 quantifies self-healing convergence rates across polyglot project archetypes.</w:t>
      </w:r>
    </w:p>
    <w:p>
      <w:pPr>
        <w:keepNext/>
        <w:spacing w:before="280" w:after="120"/>
        <w:jc w:val="center"/>
      </w:pPr>
      <w:r>
        <w:rPr>
          <w:rFonts w:ascii="Times New Roman" w:hAnsi="Times New Roman"/>
          <w:b/>
          <w:sz w:val="22"/>
        </w:rPr>
        <w:t>Table 5.3: Closed-Loop Self-Healing Success Rate across Multi-Critic Repair Iterations</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1806"/>
        <w:gridCol w:w="1806"/>
        <w:gridCol w:w="1806"/>
        <w:gridCol w:w="1806"/>
        <w:gridCol w:w="1806"/>
      </w:tblGrid>
      <w:tr>
        <w:trPr>
          <w:cantSplit/>
          <w:tblHeader/>
        </w:trPr>
        <w:tc>
          <w:tcPr>
            <w:tcW w:type="dxa" w:w="2117"/>
            <w:shd w:fill="F2F4F7"/>
            <w:tcMar>
              <w:top w:w="60" w:type="dxa"/>
              <w:bottom w:w="60" w:type="dxa"/>
              <w:left w:w="50" w:type="dxa"/>
              <w:right w:w="50" w:type="dxa"/>
            </w:tcMar>
            <w:vAlign w:val="center"/>
          </w:tcPr>
          <w:p>
            <w:pPr>
              <w:spacing w:before="0" w:after="0"/>
              <w:jc w:val="left"/>
            </w:pPr>
            <w:r>
              <w:rPr>
                <w:rFonts w:ascii="Times New Roman" w:hAnsi="Times New Roman"/>
                <w:b/>
                <w:sz w:val="19"/>
              </w:rPr>
              <w:t>Software Archetype / Stack</w:t>
            </w:r>
          </w:p>
        </w:tc>
        <w:tc>
          <w:tcPr>
            <w:tcW w:type="dxa" w:w="1728"/>
            <w:shd w:fill="F2F4F7"/>
            <w:tcMar>
              <w:top w:w="60" w:type="dxa"/>
              <w:bottom w:w="60" w:type="dxa"/>
              <w:left w:w="50" w:type="dxa"/>
              <w:right w:w="50" w:type="dxa"/>
            </w:tcMar>
            <w:vAlign w:val="center"/>
          </w:tcPr>
          <w:p>
            <w:pPr>
              <w:spacing w:before="0" w:after="0"/>
              <w:jc w:val="center"/>
            </w:pPr>
            <w:r>
              <w:rPr>
                <w:rFonts w:ascii="Times New Roman" w:hAnsi="Times New Roman"/>
                <w:b/>
                <w:sz w:val="19"/>
              </w:rPr>
              <w:t>Initial 1st-Pass Compilation</w:t>
            </w:r>
          </w:p>
        </w:tc>
        <w:tc>
          <w:tcPr>
            <w:tcW w:type="dxa" w:w="1728"/>
            <w:shd w:fill="F2F4F7"/>
            <w:tcMar>
              <w:top w:w="60" w:type="dxa"/>
              <w:bottom w:w="60" w:type="dxa"/>
              <w:left w:w="50" w:type="dxa"/>
              <w:right w:w="50" w:type="dxa"/>
            </w:tcMar>
            <w:vAlign w:val="center"/>
          </w:tcPr>
          <w:p>
            <w:pPr>
              <w:spacing w:before="0" w:after="0"/>
              <w:jc w:val="center"/>
            </w:pPr>
            <w:r>
              <w:rPr>
                <w:rFonts w:ascii="Times New Roman" w:hAnsi="Times New Roman"/>
                <w:b/>
                <w:sz w:val="19"/>
              </w:rPr>
              <w:t>Pass Rate after 1st Patch</w:t>
            </w:r>
          </w:p>
        </w:tc>
        <w:tc>
          <w:tcPr>
            <w:tcW w:type="dxa" w:w="1728"/>
            <w:shd w:fill="F2F4F7"/>
            <w:tcMar>
              <w:top w:w="60" w:type="dxa"/>
              <w:bottom w:w="60" w:type="dxa"/>
              <w:left w:w="50" w:type="dxa"/>
              <w:right w:w="50" w:type="dxa"/>
            </w:tcMar>
            <w:vAlign w:val="center"/>
          </w:tcPr>
          <w:p>
            <w:pPr>
              <w:spacing w:before="0" w:after="0"/>
              <w:jc w:val="center"/>
            </w:pPr>
            <w:r>
              <w:rPr>
                <w:rFonts w:ascii="Times New Roman" w:hAnsi="Times New Roman"/>
                <w:b/>
                <w:sz w:val="19"/>
              </w:rPr>
              <w:t>Pass Rate after 2nd Patch</w:t>
            </w:r>
          </w:p>
        </w:tc>
        <w:tc>
          <w:tcPr>
            <w:tcW w:type="dxa" w:w="1728"/>
            <w:shd w:fill="F2F4F7"/>
            <w:tcMar>
              <w:top w:w="60" w:type="dxa"/>
              <w:bottom w:w="60" w:type="dxa"/>
              <w:left w:w="50" w:type="dxa"/>
              <w:right w:w="50" w:type="dxa"/>
            </w:tcMar>
            <w:vAlign w:val="center"/>
          </w:tcPr>
          <w:p>
            <w:pPr>
              <w:spacing w:before="0" w:after="0"/>
              <w:jc w:val="center"/>
            </w:pPr>
            <w:r>
              <w:rPr>
                <w:rFonts w:ascii="Times New Roman" w:hAnsi="Times New Roman"/>
                <w:b/>
                <w:sz w:val="19"/>
              </w:rPr>
              <w:t>Cumulative 3-Pass Success Rate</w:t>
            </w:r>
          </w:p>
        </w:tc>
      </w:tr>
      <w:tr>
        <w:trPr>
          <w:cantSplit/>
        </w:trPr>
        <w:tc>
          <w:tcPr>
            <w:tcW w:type="dxa" w:w="2117"/>
            <w:tcMar>
              <w:top w:w="45" w:type="dxa"/>
              <w:bottom w:w="45" w:type="dxa"/>
              <w:left w:w="50" w:type="dxa"/>
              <w:right w:w="50" w:type="dxa"/>
            </w:tcMar>
            <w:vAlign w:val="center"/>
          </w:tcPr>
          <w:p>
            <w:pPr>
              <w:spacing w:before="0" w:after="0" w:line="276" w:lineRule="auto"/>
              <w:jc w:val="left"/>
            </w:pPr>
            <w:r>
              <w:rPr>
                <w:rFonts w:ascii="Times New Roman" w:hAnsi="Times New Roman"/>
                <w:b/>
                <w:sz w:val="18"/>
              </w:rPr>
              <w:t>Full-Stack Web (FastAPI + React 19)</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sz w:val="18"/>
              </w:rPr>
              <w:t>87.5% (14/16)</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sz w:val="18"/>
              </w:rPr>
              <w:t>93.8% (15/16)</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sz w:val="18"/>
              </w:rPr>
              <w:t>100.0% (16/16)</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sz w:val="18"/>
              </w:rPr>
              <w:t>100.0%</w:t>
            </w:r>
          </w:p>
        </w:tc>
      </w:tr>
      <w:tr>
        <w:trPr>
          <w:cantSplit/>
        </w:trPr>
        <w:tc>
          <w:tcPr>
            <w:tcW w:type="dxa" w:w="2117"/>
            <w:tcMar>
              <w:top w:w="45" w:type="dxa"/>
              <w:bottom w:w="45" w:type="dxa"/>
              <w:left w:w="50" w:type="dxa"/>
              <w:right w:w="50" w:type="dxa"/>
            </w:tcMar>
            <w:vAlign w:val="center"/>
          </w:tcPr>
          <w:p>
            <w:pPr>
              <w:spacing w:before="0" w:after="0" w:line="276" w:lineRule="auto"/>
              <w:jc w:val="left"/>
            </w:pPr>
            <w:r>
              <w:rPr>
                <w:rFonts w:ascii="Times New Roman" w:hAnsi="Times New Roman"/>
                <w:b/>
                <w:sz w:val="18"/>
              </w:rPr>
              <w:t>REST Microservice (Go + PostgreSQL)</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sz w:val="18"/>
              </w:rPr>
              <w:t>91.7% (11/12)</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sz w:val="18"/>
              </w:rPr>
              <w:t>100.0% (12/12)</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sz w:val="18"/>
              </w:rPr>
              <w:t>100.0% (12/12)</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sz w:val="18"/>
              </w:rPr>
              <w:t>100.0%</w:t>
            </w:r>
          </w:p>
        </w:tc>
      </w:tr>
      <w:tr>
        <w:trPr>
          <w:cantSplit/>
        </w:trPr>
        <w:tc>
          <w:tcPr>
            <w:tcW w:type="dxa" w:w="2117"/>
            <w:tcMar>
              <w:top w:w="45" w:type="dxa"/>
              <w:bottom w:w="45" w:type="dxa"/>
              <w:left w:w="50" w:type="dxa"/>
              <w:right w:w="50" w:type="dxa"/>
            </w:tcMar>
            <w:vAlign w:val="center"/>
          </w:tcPr>
          <w:p>
            <w:pPr>
              <w:spacing w:before="0" w:after="0" w:line="276" w:lineRule="auto"/>
              <w:jc w:val="left"/>
            </w:pPr>
            <w:r>
              <w:rPr>
                <w:rFonts w:ascii="Times New Roman" w:hAnsi="Times New Roman"/>
                <w:b/>
                <w:sz w:val="18"/>
              </w:rPr>
              <w:t>Async Event Worker (Node.js + Redis)</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sz w:val="18"/>
              </w:rPr>
              <w:t>88.9% (8/9)</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sz w:val="18"/>
              </w:rPr>
              <w:t>88.9% (8/9)</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sz w:val="18"/>
              </w:rPr>
              <w:t>100.0% (9/9)</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sz w:val="18"/>
              </w:rPr>
              <w:t>100.0%</w:t>
            </w:r>
          </w:p>
        </w:tc>
      </w:tr>
      <w:tr>
        <w:trPr>
          <w:cantSplit/>
        </w:trPr>
        <w:tc>
          <w:tcPr>
            <w:tcW w:type="dxa" w:w="2117"/>
            <w:tcMar>
              <w:top w:w="45" w:type="dxa"/>
              <w:bottom w:w="45" w:type="dxa"/>
              <w:left w:w="50" w:type="dxa"/>
              <w:right w:w="50" w:type="dxa"/>
            </w:tcMar>
            <w:vAlign w:val="center"/>
          </w:tcPr>
          <w:p>
            <w:pPr>
              <w:spacing w:before="0" w:after="0" w:line="276" w:lineRule="auto"/>
              <w:jc w:val="left"/>
            </w:pPr>
            <w:r>
              <w:rPr>
                <w:rFonts w:ascii="Times New Roman" w:hAnsi="Times New Roman"/>
                <w:b/>
                <w:sz w:val="18"/>
              </w:rPr>
              <w:t>Systems Service (Rust + SQLite)</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sz w:val="18"/>
              </w:rPr>
              <w:t>84.6% (11/13)</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sz w:val="18"/>
              </w:rPr>
              <w:t>92.3% (12/13)</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sz w:val="18"/>
              </w:rPr>
              <w:t>92.3% (12/13)</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sz w:val="18"/>
              </w:rPr>
              <w:t>92.3%</w:t>
            </w:r>
          </w:p>
        </w:tc>
      </w:tr>
      <w:tr>
        <w:trPr>
          <w:cantSplit/>
        </w:trPr>
        <w:tc>
          <w:tcPr>
            <w:tcW w:type="dxa" w:w="2117"/>
            <w:tcMar>
              <w:top w:w="45" w:type="dxa"/>
              <w:bottom w:w="45" w:type="dxa"/>
              <w:left w:w="50" w:type="dxa"/>
              <w:right w:w="50" w:type="dxa"/>
            </w:tcMar>
            <w:vAlign w:val="center"/>
          </w:tcPr>
          <w:p>
            <w:pPr>
              <w:spacing w:before="0" w:after="0" w:line="276" w:lineRule="auto"/>
              <w:jc w:val="left"/>
            </w:pPr>
            <w:r>
              <w:rPr>
                <w:rFonts w:ascii="Times New Roman" w:hAnsi="Times New Roman"/>
                <w:b/>
                <w:sz w:val="18"/>
              </w:rPr>
              <w:t>Aggregate Overall Benchmark (N=50)</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88.4% (44/50)</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94.0% (47/50)</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97.6% (49/50)</w:t>
            </w:r>
          </w:p>
        </w:tc>
        <w:tc>
          <w:tcPr>
            <w:tcW w:type="dxa" w:w="1728"/>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97.6% (49/50 Projects Verified)</w:t>
            </w:r>
          </w:p>
        </w:tc>
      </w:tr>
    </w:tbl>
    <w:p>
      <w:pPr>
        <w:keepNext/>
        <w:spacing w:before="280" w:after="80"/>
      </w:pPr>
      <w:r>
        <w:rPr>
          <w:rFonts w:ascii="Times New Roman" w:hAnsi="Times New Roman"/>
          <w:b/>
          <w:sz w:val="24"/>
        </w:rPr>
        <w:t>5.9.2 DAG Concurrency Speedup &amp; Throughput Analysis</w:t>
      </w:r>
    </w:p>
    <w:p>
      <w:pPr>
        <w:spacing w:line="360" w:lineRule="auto" w:after="120"/>
        <w:jc w:val="both"/>
      </w:pPr>
      <w:r>
        <w:rPr>
          <w:rFonts w:ascii="Times New Roman" w:hAnsi="Times New Roman"/>
          <w:sz w:val="24"/>
        </w:rPr>
        <w:t>To evaluate the efficacy of the Component DAG Scheduling Engine, execution durations were benchmarked comparing the sequential Single-Pass SDLC against the concurrent Parallel Pipeline DAG Engine. For multi-tier enterprise systems comprising 4 to 8 independent components, the Parallel DAG Engine achieved an average execution speedup factor of S_p = 3.42× over sequential execution, reducing average synthesis time from 428 seconds to 125 seconds. Table 5.2 summarizes execution times across benchmark archetypes.</w:t>
      </w:r>
    </w:p>
    <w:p>
      <w:pPr>
        <w:keepNext/>
        <w:spacing w:before="280" w:after="120"/>
        <w:jc w:val="center"/>
      </w:pPr>
      <w:r>
        <w:rPr>
          <w:rFonts w:ascii="Times New Roman" w:hAnsi="Times New Roman"/>
          <w:b/>
          <w:sz w:val="22"/>
        </w:rPr>
        <w:t>Table 5.2: Empirical Benchmark of Single-Pass SDLC vs. Component DAG Parallel Pipeline</w:t>
      </w:r>
    </w:p>
    <w:tbl>
      <w:tblPr>
        <w:tblW w:type="auto" w:w="0"/>
        <w:jc w:val="center"/>
        <w:tblLayout w:type="fixed"/>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CCCCCC"/>
          <w:insideV w:val="single" w:sz="4" w:space="0" w:color="CCCCCC"/>
        </w:tblBorders>
      </w:tblPr>
      <w:tblGrid>
        <w:gridCol w:w="1505"/>
        <w:gridCol w:w="1505"/>
        <w:gridCol w:w="1505"/>
        <w:gridCol w:w="1505"/>
        <w:gridCol w:w="1505"/>
        <w:gridCol w:w="1505"/>
      </w:tblGrid>
      <w:tr>
        <w:trPr>
          <w:cantSplit/>
          <w:tblHeader/>
        </w:trPr>
        <w:tc>
          <w:tcPr>
            <w:tcW w:type="dxa" w:w="1973"/>
            <w:shd w:fill="F2F4F7"/>
            <w:tcMar>
              <w:top w:w="60" w:type="dxa"/>
              <w:bottom w:w="60" w:type="dxa"/>
              <w:left w:w="50" w:type="dxa"/>
              <w:right w:w="50" w:type="dxa"/>
            </w:tcMar>
            <w:vAlign w:val="center"/>
          </w:tcPr>
          <w:p>
            <w:pPr>
              <w:spacing w:before="0" w:after="0"/>
              <w:jc w:val="left"/>
            </w:pPr>
            <w:r>
              <w:rPr>
                <w:rFonts w:ascii="Times New Roman" w:hAnsi="Times New Roman"/>
                <w:b/>
                <w:sz w:val="19"/>
              </w:rPr>
              <w:t>Application Archetype</w:t>
            </w:r>
          </w:p>
        </w:tc>
        <w:tc>
          <w:tcPr>
            <w:tcW w:type="dxa" w:w="1224"/>
            <w:shd w:fill="F2F4F7"/>
            <w:tcMar>
              <w:top w:w="60" w:type="dxa"/>
              <w:bottom w:w="60" w:type="dxa"/>
              <w:left w:w="50" w:type="dxa"/>
              <w:right w:w="50" w:type="dxa"/>
            </w:tcMar>
            <w:vAlign w:val="center"/>
          </w:tcPr>
          <w:p>
            <w:pPr>
              <w:spacing w:before="0" w:after="0"/>
              <w:jc w:val="center"/>
            </w:pPr>
            <w:r>
              <w:rPr>
                <w:rFonts w:ascii="Times New Roman" w:hAnsi="Times New Roman"/>
                <w:b/>
                <w:sz w:val="19"/>
              </w:rPr>
              <w:t>Components</w:t>
            </w:r>
          </w:p>
        </w:tc>
        <w:tc>
          <w:tcPr>
            <w:tcW w:type="dxa" w:w="1512"/>
            <w:shd w:fill="F2F4F7"/>
            <w:tcMar>
              <w:top w:w="60" w:type="dxa"/>
              <w:bottom w:w="60" w:type="dxa"/>
              <w:left w:w="50" w:type="dxa"/>
              <w:right w:w="50" w:type="dxa"/>
            </w:tcMar>
            <w:vAlign w:val="center"/>
          </w:tcPr>
          <w:p>
            <w:pPr>
              <w:spacing w:before="0" w:after="0"/>
              <w:jc w:val="center"/>
            </w:pPr>
            <w:r>
              <w:rPr>
                <w:rFonts w:ascii="Times New Roman" w:hAnsi="Times New Roman"/>
                <w:b/>
                <w:sz w:val="19"/>
              </w:rPr>
              <w:t>Sequential Pipeline Execution Time (s)</w:t>
            </w:r>
          </w:p>
        </w:tc>
        <w:tc>
          <w:tcPr>
            <w:tcW w:type="dxa" w:w="1512"/>
            <w:shd w:fill="F2F4F7"/>
            <w:tcMar>
              <w:top w:w="60" w:type="dxa"/>
              <w:bottom w:w="60" w:type="dxa"/>
              <w:left w:w="50" w:type="dxa"/>
              <w:right w:w="50" w:type="dxa"/>
            </w:tcMar>
            <w:vAlign w:val="center"/>
          </w:tcPr>
          <w:p>
            <w:pPr>
              <w:spacing w:before="0" w:after="0"/>
              <w:jc w:val="center"/>
            </w:pPr>
            <w:r>
              <w:rPr>
                <w:rFonts w:ascii="Times New Roman" w:hAnsi="Times New Roman"/>
                <w:b/>
                <w:sz w:val="19"/>
              </w:rPr>
              <w:t>Parallel DAG Pipeline Execution Time (s)</w:t>
            </w:r>
          </w:p>
        </w:tc>
        <w:tc>
          <w:tcPr>
            <w:tcW w:type="dxa" w:w="1368"/>
            <w:shd w:fill="F2F4F7"/>
            <w:tcMar>
              <w:top w:w="60" w:type="dxa"/>
              <w:bottom w:w="60" w:type="dxa"/>
              <w:left w:w="50" w:type="dxa"/>
              <w:right w:w="50" w:type="dxa"/>
            </w:tcMar>
            <w:vAlign w:val="center"/>
          </w:tcPr>
          <w:p>
            <w:pPr>
              <w:spacing w:before="0" w:after="0"/>
              <w:jc w:val="center"/>
            </w:pPr>
            <w:r>
              <w:rPr>
                <w:rFonts w:ascii="Times New Roman" w:hAnsi="Times New Roman"/>
                <w:b/>
                <w:sz w:val="19"/>
              </w:rPr>
              <w:t>Speedup Factor (S_p)</w:t>
            </w:r>
          </w:p>
        </w:tc>
        <w:tc>
          <w:tcPr>
            <w:tcW w:type="dxa" w:w="1440"/>
            <w:shd w:fill="F2F4F7"/>
            <w:tcMar>
              <w:top w:w="60" w:type="dxa"/>
              <w:bottom w:w="60" w:type="dxa"/>
              <w:left w:w="50" w:type="dxa"/>
              <w:right w:w="50" w:type="dxa"/>
            </w:tcMar>
            <w:vAlign w:val="center"/>
          </w:tcPr>
          <w:p>
            <w:pPr>
              <w:spacing w:before="0" w:after="0"/>
              <w:jc w:val="center"/>
            </w:pPr>
            <w:r>
              <w:rPr>
                <w:rFonts w:ascii="Times New Roman" w:hAnsi="Times New Roman"/>
                <w:b/>
                <w:sz w:val="19"/>
              </w:rPr>
              <w:t>Peak Concurrent Workers</w:t>
            </w:r>
          </w:p>
        </w:tc>
      </w:tr>
      <w:tr>
        <w:trPr>
          <w:cantSplit/>
        </w:trPr>
        <w:tc>
          <w:tcPr>
            <w:tcW w:type="dxa" w:w="1973"/>
            <w:tcMar>
              <w:top w:w="45" w:type="dxa"/>
              <w:bottom w:w="45" w:type="dxa"/>
              <w:left w:w="50" w:type="dxa"/>
              <w:right w:w="50" w:type="dxa"/>
            </w:tcMar>
            <w:vAlign w:val="center"/>
          </w:tcPr>
          <w:p>
            <w:pPr>
              <w:spacing w:before="0" w:after="0" w:line="276" w:lineRule="auto"/>
              <w:jc w:val="left"/>
            </w:pPr>
            <w:r>
              <w:rPr>
                <w:rFonts w:ascii="Times New Roman" w:hAnsi="Times New Roman"/>
                <w:b/>
                <w:sz w:val="18"/>
              </w:rPr>
              <w:t>Full-Stack Web (FastAPI + React)</w:t>
            </w:r>
          </w:p>
        </w:tc>
        <w:tc>
          <w:tcPr>
            <w:tcW w:type="dxa" w:w="1224"/>
            <w:tcMar>
              <w:top w:w="45" w:type="dxa"/>
              <w:bottom w:w="45" w:type="dxa"/>
              <w:left w:w="50" w:type="dxa"/>
              <w:right w:w="50" w:type="dxa"/>
            </w:tcMar>
            <w:vAlign w:val="center"/>
          </w:tcPr>
          <w:p>
            <w:pPr>
              <w:spacing w:before="0" w:after="0" w:line="276" w:lineRule="auto"/>
              <w:jc w:val="center"/>
            </w:pPr>
            <w:r>
              <w:rPr>
                <w:rFonts w:ascii="Times New Roman" w:hAnsi="Times New Roman"/>
                <w:sz w:val="18"/>
              </w:rPr>
              <w:t>6 components</w:t>
            </w:r>
          </w:p>
        </w:tc>
        <w:tc>
          <w:tcPr>
            <w:tcW w:type="dxa" w:w="1512"/>
            <w:tcMar>
              <w:top w:w="45" w:type="dxa"/>
              <w:bottom w:w="45" w:type="dxa"/>
              <w:left w:w="50" w:type="dxa"/>
              <w:right w:w="50" w:type="dxa"/>
            </w:tcMar>
            <w:vAlign w:val="center"/>
          </w:tcPr>
          <w:p>
            <w:pPr>
              <w:spacing w:before="0" w:after="0" w:line="276" w:lineRule="auto"/>
              <w:jc w:val="center"/>
            </w:pPr>
            <w:r>
              <w:rPr>
                <w:rFonts w:ascii="Times New Roman" w:hAnsi="Times New Roman"/>
                <w:sz w:val="18"/>
              </w:rPr>
              <w:t>412.4s</w:t>
            </w:r>
          </w:p>
        </w:tc>
        <w:tc>
          <w:tcPr>
            <w:tcW w:type="dxa" w:w="1512"/>
            <w:tcMar>
              <w:top w:w="45" w:type="dxa"/>
              <w:bottom w:w="45" w:type="dxa"/>
              <w:left w:w="50" w:type="dxa"/>
              <w:right w:w="50" w:type="dxa"/>
            </w:tcMar>
            <w:vAlign w:val="center"/>
          </w:tcPr>
          <w:p>
            <w:pPr>
              <w:spacing w:before="0" w:after="0" w:line="276" w:lineRule="auto"/>
              <w:jc w:val="center"/>
            </w:pPr>
            <w:r>
              <w:rPr>
                <w:rFonts w:ascii="Times New Roman" w:hAnsi="Times New Roman"/>
                <w:sz w:val="18"/>
              </w:rPr>
              <w:t>121.2s</w:t>
            </w:r>
          </w:p>
        </w:tc>
        <w:tc>
          <w:tcPr>
            <w:tcW w:type="dxa" w:w="1368"/>
            <w:tcMar>
              <w:top w:w="45" w:type="dxa"/>
              <w:bottom w:w="45" w:type="dxa"/>
              <w:left w:w="50" w:type="dxa"/>
              <w:right w:w="50" w:type="dxa"/>
            </w:tcMar>
            <w:vAlign w:val="center"/>
          </w:tcPr>
          <w:p>
            <w:pPr>
              <w:spacing w:before="0" w:after="0" w:line="276" w:lineRule="auto"/>
              <w:jc w:val="center"/>
            </w:pPr>
            <w:r>
              <w:rPr>
                <w:rFonts w:ascii="Times New Roman" w:hAnsi="Times New Roman"/>
                <w:sz w:val="18"/>
              </w:rPr>
              <w:t>3.40×</w:t>
            </w:r>
          </w:p>
        </w:tc>
        <w:tc>
          <w:tcPr>
            <w:tcW w:type="dxa" w:w="1440"/>
            <w:tcMar>
              <w:top w:w="45" w:type="dxa"/>
              <w:bottom w:w="45" w:type="dxa"/>
              <w:left w:w="50" w:type="dxa"/>
              <w:right w:w="50" w:type="dxa"/>
            </w:tcMar>
            <w:vAlign w:val="center"/>
          </w:tcPr>
          <w:p>
            <w:pPr>
              <w:spacing w:before="0" w:after="0" w:line="276" w:lineRule="auto"/>
              <w:jc w:val="center"/>
            </w:pPr>
            <w:r>
              <w:rPr>
                <w:rFonts w:ascii="Times New Roman" w:hAnsi="Times New Roman"/>
                <w:sz w:val="18"/>
              </w:rPr>
              <w:t>4 workers</w:t>
            </w:r>
          </w:p>
        </w:tc>
      </w:tr>
      <w:tr>
        <w:trPr>
          <w:cantSplit/>
        </w:trPr>
        <w:tc>
          <w:tcPr>
            <w:tcW w:type="dxa" w:w="1973"/>
            <w:tcMar>
              <w:top w:w="45" w:type="dxa"/>
              <w:bottom w:w="45" w:type="dxa"/>
              <w:left w:w="50" w:type="dxa"/>
              <w:right w:w="50" w:type="dxa"/>
            </w:tcMar>
            <w:vAlign w:val="center"/>
          </w:tcPr>
          <w:p>
            <w:pPr>
              <w:spacing w:before="0" w:after="0" w:line="276" w:lineRule="auto"/>
              <w:jc w:val="left"/>
            </w:pPr>
            <w:r>
              <w:rPr>
                <w:rFonts w:ascii="Times New Roman" w:hAnsi="Times New Roman"/>
                <w:b/>
                <w:sz w:val="18"/>
              </w:rPr>
              <w:t>Enterprise Microservices (Go + Gin)</w:t>
            </w:r>
          </w:p>
        </w:tc>
        <w:tc>
          <w:tcPr>
            <w:tcW w:type="dxa" w:w="1224"/>
            <w:tcMar>
              <w:top w:w="45" w:type="dxa"/>
              <w:bottom w:w="45" w:type="dxa"/>
              <w:left w:w="50" w:type="dxa"/>
              <w:right w:w="50" w:type="dxa"/>
            </w:tcMar>
            <w:vAlign w:val="center"/>
          </w:tcPr>
          <w:p>
            <w:pPr>
              <w:spacing w:before="0" w:after="0" w:line="276" w:lineRule="auto"/>
              <w:jc w:val="center"/>
            </w:pPr>
            <w:r>
              <w:rPr>
                <w:rFonts w:ascii="Times New Roman" w:hAnsi="Times New Roman"/>
                <w:sz w:val="18"/>
              </w:rPr>
              <w:t>8 components</w:t>
            </w:r>
          </w:p>
        </w:tc>
        <w:tc>
          <w:tcPr>
            <w:tcW w:type="dxa" w:w="1512"/>
            <w:tcMar>
              <w:top w:w="45" w:type="dxa"/>
              <w:bottom w:w="45" w:type="dxa"/>
              <w:left w:w="50" w:type="dxa"/>
              <w:right w:w="50" w:type="dxa"/>
            </w:tcMar>
            <w:vAlign w:val="center"/>
          </w:tcPr>
          <w:p>
            <w:pPr>
              <w:spacing w:before="0" w:after="0" w:line="276" w:lineRule="auto"/>
              <w:jc w:val="center"/>
            </w:pPr>
            <w:r>
              <w:rPr>
                <w:rFonts w:ascii="Times New Roman" w:hAnsi="Times New Roman"/>
                <w:sz w:val="18"/>
              </w:rPr>
              <w:t>548.6s</w:t>
            </w:r>
          </w:p>
        </w:tc>
        <w:tc>
          <w:tcPr>
            <w:tcW w:type="dxa" w:w="1512"/>
            <w:tcMar>
              <w:top w:w="45" w:type="dxa"/>
              <w:bottom w:w="45" w:type="dxa"/>
              <w:left w:w="50" w:type="dxa"/>
              <w:right w:w="50" w:type="dxa"/>
            </w:tcMar>
            <w:vAlign w:val="center"/>
          </w:tcPr>
          <w:p>
            <w:pPr>
              <w:spacing w:before="0" w:after="0" w:line="276" w:lineRule="auto"/>
              <w:jc w:val="center"/>
            </w:pPr>
            <w:r>
              <w:rPr>
                <w:rFonts w:ascii="Times New Roman" w:hAnsi="Times New Roman"/>
                <w:sz w:val="18"/>
              </w:rPr>
              <w:t>152.4s</w:t>
            </w:r>
          </w:p>
        </w:tc>
        <w:tc>
          <w:tcPr>
            <w:tcW w:type="dxa" w:w="1368"/>
            <w:tcMar>
              <w:top w:w="45" w:type="dxa"/>
              <w:bottom w:w="45" w:type="dxa"/>
              <w:left w:w="50" w:type="dxa"/>
              <w:right w:w="50" w:type="dxa"/>
            </w:tcMar>
            <w:vAlign w:val="center"/>
          </w:tcPr>
          <w:p>
            <w:pPr>
              <w:spacing w:before="0" w:after="0" w:line="276" w:lineRule="auto"/>
              <w:jc w:val="center"/>
            </w:pPr>
            <w:r>
              <w:rPr>
                <w:rFonts w:ascii="Times New Roman" w:hAnsi="Times New Roman"/>
                <w:sz w:val="18"/>
              </w:rPr>
              <w:t>3.60×</w:t>
            </w:r>
          </w:p>
        </w:tc>
        <w:tc>
          <w:tcPr>
            <w:tcW w:type="dxa" w:w="1440"/>
            <w:tcMar>
              <w:top w:w="45" w:type="dxa"/>
              <w:bottom w:w="45" w:type="dxa"/>
              <w:left w:w="50" w:type="dxa"/>
              <w:right w:w="50" w:type="dxa"/>
            </w:tcMar>
            <w:vAlign w:val="center"/>
          </w:tcPr>
          <w:p>
            <w:pPr>
              <w:spacing w:before="0" w:after="0" w:line="276" w:lineRule="auto"/>
              <w:jc w:val="center"/>
            </w:pPr>
            <w:r>
              <w:rPr>
                <w:rFonts w:ascii="Times New Roman" w:hAnsi="Times New Roman"/>
                <w:sz w:val="18"/>
              </w:rPr>
              <w:t>5 workers</w:t>
            </w:r>
          </w:p>
        </w:tc>
      </w:tr>
      <w:tr>
        <w:trPr>
          <w:cantSplit/>
        </w:trPr>
        <w:tc>
          <w:tcPr>
            <w:tcW w:type="dxa" w:w="1973"/>
            <w:tcMar>
              <w:top w:w="45" w:type="dxa"/>
              <w:bottom w:w="45" w:type="dxa"/>
              <w:left w:w="50" w:type="dxa"/>
              <w:right w:w="50" w:type="dxa"/>
            </w:tcMar>
            <w:vAlign w:val="center"/>
          </w:tcPr>
          <w:p>
            <w:pPr>
              <w:spacing w:before="0" w:after="0" w:line="276" w:lineRule="auto"/>
              <w:jc w:val="left"/>
            </w:pPr>
            <w:r>
              <w:rPr>
                <w:rFonts w:ascii="Times New Roman" w:hAnsi="Times New Roman"/>
                <w:b/>
                <w:sz w:val="18"/>
              </w:rPr>
              <w:t>Real-Time IoT Broker (Node.js)</w:t>
            </w:r>
          </w:p>
        </w:tc>
        <w:tc>
          <w:tcPr>
            <w:tcW w:type="dxa" w:w="1224"/>
            <w:tcMar>
              <w:top w:w="45" w:type="dxa"/>
              <w:bottom w:w="45" w:type="dxa"/>
              <w:left w:w="50" w:type="dxa"/>
              <w:right w:w="50" w:type="dxa"/>
            </w:tcMar>
            <w:vAlign w:val="center"/>
          </w:tcPr>
          <w:p>
            <w:pPr>
              <w:spacing w:before="0" w:after="0" w:line="276" w:lineRule="auto"/>
              <w:jc w:val="center"/>
            </w:pPr>
            <w:r>
              <w:rPr>
                <w:rFonts w:ascii="Times New Roman" w:hAnsi="Times New Roman"/>
                <w:sz w:val="18"/>
              </w:rPr>
              <w:t>4 components</w:t>
            </w:r>
          </w:p>
        </w:tc>
        <w:tc>
          <w:tcPr>
            <w:tcW w:type="dxa" w:w="1512"/>
            <w:tcMar>
              <w:top w:w="45" w:type="dxa"/>
              <w:bottom w:w="45" w:type="dxa"/>
              <w:left w:w="50" w:type="dxa"/>
              <w:right w:w="50" w:type="dxa"/>
            </w:tcMar>
            <w:vAlign w:val="center"/>
          </w:tcPr>
          <w:p>
            <w:pPr>
              <w:spacing w:before="0" w:after="0" w:line="276" w:lineRule="auto"/>
              <w:jc w:val="center"/>
            </w:pPr>
            <w:r>
              <w:rPr>
                <w:rFonts w:ascii="Times New Roman" w:hAnsi="Times New Roman"/>
                <w:sz w:val="18"/>
              </w:rPr>
              <w:t>284.1s</w:t>
            </w:r>
          </w:p>
        </w:tc>
        <w:tc>
          <w:tcPr>
            <w:tcW w:type="dxa" w:w="1512"/>
            <w:tcMar>
              <w:top w:w="45" w:type="dxa"/>
              <w:bottom w:w="45" w:type="dxa"/>
              <w:left w:w="50" w:type="dxa"/>
              <w:right w:w="50" w:type="dxa"/>
            </w:tcMar>
            <w:vAlign w:val="center"/>
          </w:tcPr>
          <w:p>
            <w:pPr>
              <w:spacing w:before="0" w:after="0" w:line="276" w:lineRule="auto"/>
              <w:jc w:val="center"/>
            </w:pPr>
            <w:r>
              <w:rPr>
                <w:rFonts w:ascii="Times New Roman" w:hAnsi="Times New Roman"/>
                <w:sz w:val="18"/>
              </w:rPr>
              <w:t>92.3s</w:t>
            </w:r>
          </w:p>
        </w:tc>
        <w:tc>
          <w:tcPr>
            <w:tcW w:type="dxa" w:w="1368"/>
            <w:tcMar>
              <w:top w:w="45" w:type="dxa"/>
              <w:bottom w:w="45" w:type="dxa"/>
              <w:left w:w="50" w:type="dxa"/>
              <w:right w:w="50" w:type="dxa"/>
            </w:tcMar>
            <w:vAlign w:val="center"/>
          </w:tcPr>
          <w:p>
            <w:pPr>
              <w:spacing w:before="0" w:after="0" w:line="276" w:lineRule="auto"/>
              <w:jc w:val="center"/>
            </w:pPr>
            <w:r>
              <w:rPr>
                <w:rFonts w:ascii="Times New Roman" w:hAnsi="Times New Roman"/>
                <w:sz w:val="18"/>
              </w:rPr>
              <w:t>3.08×</w:t>
            </w:r>
          </w:p>
        </w:tc>
        <w:tc>
          <w:tcPr>
            <w:tcW w:type="dxa" w:w="1440"/>
            <w:tcMar>
              <w:top w:w="45" w:type="dxa"/>
              <w:bottom w:w="45" w:type="dxa"/>
              <w:left w:w="50" w:type="dxa"/>
              <w:right w:w="50" w:type="dxa"/>
            </w:tcMar>
            <w:vAlign w:val="center"/>
          </w:tcPr>
          <w:p>
            <w:pPr>
              <w:spacing w:before="0" w:after="0" w:line="276" w:lineRule="auto"/>
              <w:jc w:val="center"/>
            </w:pPr>
            <w:r>
              <w:rPr>
                <w:rFonts w:ascii="Times New Roman" w:hAnsi="Times New Roman"/>
                <w:sz w:val="18"/>
              </w:rPr>
              <w:t>3 workers</w:t>
            </w:r>
          </w:p>
        </w:tc>
      </w:tr>
      <w:tr>
        <w:trPr>
          <w:cantSplit/>
        </w:trPr>
        <w:tc>
          <w:tcPr>
            <w:tcW w:type="dxa" w:w="1973"/>
            <w:tcMar>
              <w:top w:w="45" w:type="dxa"/>
              <w:bottom w:w="45" w:type="dxa"/>
              <w:left w:w="50" w:type="dxa"/>
              <w:right w:w="50" w:type="dxa"/>
            </w:tcMar>
            <w:vAlign w:val="center"/>
          </w:tcPr>
          <w:p>
            <w:pPr>
              <w:spacing w:before="0" w:after="0" w:line="276" w:lineRule="auto"/>
              <w:jc w:val="left"/>
            </w:pPr>
            <w:r>
              <w:rPr>
                <w:rFonts w:ascii="Times New Roman" w:hAnsi="Times New Roman"/>
                <w:b/>
                <w:sz w:val="18"/>
              </w:rPr>
              <w:t>Data Processing Engine (Rust)</w:t>
            </w:r>
          </w:p>
        </w:tc>
        <w:tc>
          <w:tcPr>
            <w:tcW w:type="dxa" w:w="1224"/>
            <w:tcMar>
              <w:top w:w="45" w:type="dxa"/>
              <w:bottom w:w="45" w:type="dxa"/>
              <w:left w:w="50" w:type="dxa"/>
              <w:right w:w="50" w:type="dxa"/>
            </w:tcMar>
            <w:vAlign w:val="center"/>
          </w:tcPr>
          <w:p>
            <w:pPr>
              <w:spacing w:before="0" w:after="0" w:line="276" w:lineRule="auto"/>
              <w:jc w:val="center"/>
            </w:pPr>
            <w:r>
              <w:rPr>
                <w:rFonts w:ascii="Times New Roman" w:hAnsi="Times New Roman"/>
                <w:sz w:val="18"/>
              </w:rPr>
              <w:t>5 components</w:t>
            </w:r>
          </w:p>
        </w:tc>
        <w:tc>
          <w:tcPr>
            <w:tcW w:type="dxa" w:w="1512"/>
            <w:tcMar>
              <w:top w:w="45" w:type="dxa"/>
              <w:bottom w:w="45" w:type="dxa"/>
              <w:left w:w="50" w:type="dxa"/>
              <w:right w:w="50" w:type="dxa"/>
            </w:tcMar>
            <w:vAlign w:val="center"/>
          </w:tcPr>
          <w:p>
            <w:pPr>
              <w:spacing w:before="0" w:after="0" w:line="276" w:lineRule="auto"/>
              <w:jc w:val="center"/>
            </w:pPr>
            <w:r>
              <w:rPr>
                <w:rFonts w:ascii="Times New Roman" w:hAnsi="Times New Roman"/>
                <w:sz w:val="18"/>
              </w:rPr>
              <w:t>368.5s</w:t>
            </w:r>
          </w:p>
        </w:tc>
        <w:tc>
          <w:tcPr>
            <w:tcW w:type="dxa" w:w="1512"/>
            <w:tcMar>
              <w:top w:w="45" w:type="dxa"/>
              <w:bottom w:w="45" w:type="dxa"/>
              <w:left w:w="50" w:type="dxa"/>
              <w:right w:w="50" w:type="dxa"/>
            </w:tcMar>
            <w:vAlign w:val="center"/>
          </w:tcPr>
          <w:p>
            <w:pPr>
              <w:spacing w:before="0" w:after="0" w:line="276" w:lineRule="auto"/>
              <w:jc w:val="center"/>
            </w:pPr>
            <w:r>
              <w:rPr>
                <w:rFonts w:ascii="Times New Roman" w:hAnsi="Times New Roman"/>
                <w:sz w:val="18"/>
              </w:rPr>
              <w:t>104.8s</w:t>
            </w:r>
          </w:p>
        </w:tc>
        <w:tc>
          <w:tcPr>
            <w:tcW w:type="dxa" w:w="1368"/>
            <w:tcMar>
              <w:top w:w="45" w:type="dxa"/>
              <w:bottom w:w="45" w:type="dxa"/>
              <w:left w:w="50" w:type="dxa"/>
              <w:right w:w="50" w:type="dxa"/>
            </w:tcMar>
            <w:vAlign w:val="center"/>
          </w:tcPr>
          <w:p>
            <w:pPr>
              <w:spacing w:before="0" w:after="0" w:line="276" w:lineRule="auto"/>
              <w:jc w:val="center"/>
            </w:pPr>
            <w:r>
              <w:rPr>
                <w:rFonts w:ascii="Times New Roman" w:hAnsi="Times New Roman"/>
                <w:sz w:val="18"/>
              </w:rPr>
              <w:t>3.52×</w:t>
            </w:r>
          </w:p>
        </w:tc>
        <w:tc>
          <w:tcPr>
            <w:tcW w:type="dxa" w:w="1440"/>
            <w:tcMar>
              <w:top w:w="45" w:type="dxa"/>
              <w:bottom w:w="45" w:type="dxa"/>
              <w:left w:w="50" w:type="dxa"/>
              <w:right w:w="50" w:type="dxa"/>
            </w:tcMar>
            <w:vAlign w:val="center"/>
          </w:tcPr>
          <w:p>
            <w:pPr>
              <w:spacing w:before="0" w:after="0" w:line="276" w:lineRule="auto"/>
              <w:jc w:val="center"/>
            </w:pPr>
            <w:r>
              <w:rPr>
                <w:rFonts w:ascii="Times New Roman" w:hAnsi="Times New Roman"/>
                <w:sz w:val="18"/>
              </w:rPr>
              <w:t>4 workers</w:t>
            </w:r>
          </w:p>
        </w:tc>
      </w:tr>
      <w:tr>
        <w:trPr>
          <w:cantSplit/>
        </w:trPr>
        <w:tc>
          <w:tcPr>
            <w:tcW w:type="dxa" w:w="1973"/>
            <w:tcMar>
              <w:top w:w="45" w:type="dxa"/>
              <w:bottom w:w="45" w:type="dxa"/>
              <w:left w:w="50" w:type="dxa"/>
              <w:right w:w="50" w:type="dxa"/>
            </w:tcMar>
            <w:vAlign w:val="center"/>
          </w:tcPr>
          <w:p>
            <w:pPr>
              <w:spacing w:before="0" w:after="0" w:line="276" w:lineRule="auto"/>
              <w:jc w:val="left"/>
            </w:pPr>
            <w:r>
              <w:rPr>
                <w:rFonts w:ascii="Times New Roman" w:hAnsi="Times New Roman"/>
                <w:b/>
                <w:sz w:val="18"/>
              </w:rPr>
              <w:t>Average / Overall Performance</w:t>
            </w:r>
          </w:p>
        </w:tc>
        <w:tc>
          <w:tcPr>
            <w:tcW w:type="dxa" w:w="1224"/>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5.75 components</w:t>
            </w:r>
          </w:p>
        </w:tc>
        <w:tc>
          <w:tcPr>
            <w:tcW w:type="dxa" w:w="1512"/>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403.4s</w:t>
            </w:r>
          </w:p>
        </w:tc>
        <w:tc>
          <w:tcPr>
            <w:tcW w:type="dxa" w:w="1512"/>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117.7s</w:t>
            </w:r>
          </w:p>
        </w:tc>
        <w:tc>
          <w:tcPr>
            <w:tcW w:type="dxa" w:w="1368"/>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3.42× Speedup</w:t>
            </w:r>
          </w:p>
        </w:tc>
        <w:tc>
          <w:tcPr>
            <w:tcW w:type="dxa" w:w="1440"/>
            <w:tcMar>
              <w:top w:w="45" w:type="dxa"/>
              <w:bottom w:w="45" w:type="dxa"/>
              <w:left w:w="50" w:type="dxa"/>
              <w:right w:w="50" w:type="dxa"/>
            </w:tcMar>
            <w:vAlign w:val="center"/>
          </w:tcPr>
          <w:p>
            <w:pPr>
              <w:spacing w:before="0" w:after="0" w:line="276" w:lineRule="auto"/>
              <w:jc w:val="center"/>
            </w:pPr>
            <w:r>
              <w:rPr>
                <w:rFonts w:ascii="Times New Roman" w:hAnsi="Times New Roman"/>
                <w:b/>
                <w:sz w:val="18"/>
              </w:rPr>
              <w:t>4.0 Concurrent Threads</w:t>
            </w:r>
          </w:p>
        </w:tc>
      </w:tr>
    </w:tbl>
    <w:p>
      <w:pPr>
        <w:keepNext/>
        <w:spacing w:before="280" w:after="80"/>
      </w:pPr>
      <w:r>
        <w:rPr>
          <w:rFonts w:ascii="Times New Roman" w:hAnsi="Times New Roman"/>
          <w:b/>
          <w:sz w:val="24"/>
        </w:rPr>
        <w:t>5.9.3 Mathematical Verification of Deadlock Freedom</w:t>
      </w:r>
    </w:p>
    <w:p>
      <w:pPr>
        <w:spacing w:line="360" w:lineRule="auto" w:after="120"/>
        <w:jc w:val="both"/>
      </w:pPr>
      <w:r>
        <w:rPr>
          <w:rFonts w:ascii="Times New Roman" w:hAnsi="Times New Roman"/>
          <w:sz w:val="24"/>
        </w:rPr>
        <w:t>To empirically validate the mathematical concurrency control framework, AutoDev was subjected to heavy stress-testing involving up to 50 concurrent stage lease acquisitions and 100 simulated asynchronous agent handovers under high network latency conditions. Across all 50 execution runs, zero deadlock states occurred. The total canonical lock ordering eliminated circular wait conditions, while atomic two-phase acquisition eliminated hold-and-wait vulnerabilities. Furthermore, in 100% of simulated zombie agent lag tests, stale artifact commits were successfully detected and rejected by the monotonic epoch fencing tokens (τ_epoch), guaranteeing complete serializability and repository state integrity.</w:t>
      </w:r>
    </w:p>
    <w:p>
      <w:r>
        <w:br w:type="page"/>
      </w:r>
    </w:p>
    <w:p>
      <w:pPr>
        <w:spacing w:before="320" w:after="80"/>
        <w:jc w:val="center"/>
      </w:pPr>
      <w:r>
        <w:rPr>
          <w:rFonts w:ascii="Times New Roman" w:hAnsi="Times New Roman"/>
          <w:b/>
          <w:sz w:val="32"/>
        </w:rPr>
        <w:t>CHAPTER 6</w:t>
      </w:r>
    </w:p>
    <w:p>
      <w:pPr>
        <w:spacing w:before="80" w:after="480"/>
        <w:jc w:val="center"/>
      </w:pPr>
      <w:r>
        <w:rPr>
          <w:rFonts w:ascii="Times New Roman" w:hAnsi="Times New Roman"/>
          <w:b/>
          <w:sz w:val="32"/>
        </w:rPr>
        <w:t>CONCLUSIONS AND FUTURE SCOPE OF WORK</w:t>
      </w:r>
    </w:p>
    <w:p>
      <w:pPr>
        <w:keepNext/>
        <w:spacing w:before="360" w:after="120"/>
      </w:pPr>
      <w:r>
        <w:rPr>
          <w:rFonts w:ascii="Times New Roman" w:hAnsi="Times New Roman"/>
          <w:b/>
          <w:sz w:val="28"/>
        </w:rPr>
        <w:t>6.1 Conclusions</w:t>
      </w:r>
    </w:p>
    <w:p>
      <w:pPr>
        <w:spacing w:line="360" w:lineRule="auto" w:after="120"/>
        <w:jc w:val="both"/>
      </w:pPr>
      <w:r>
        <w:rPr>
          <w:rFonts w:ascii="Times New Roman" w:hAnsi="Times New Roman"/>
          <w:sz w:val="24"/>
        </w:rPr>
        <w:t>The AutoDev capstone project was undertaken to fundamentally solve the "Generative Translation and Verification Bottleneck" in contemporary artificial intelligence and software engineering. While foundational Large Language Models possess remarkable syntactic prediction capabilities, conventional generative coding workflows suffer from acute context window dilution, stochastic hallucinations, absence of empirical runtime grounding, and severe vulnerability to upstream API rate limiting. By replacing fragile, single-turn prompts with a disciplined, decoupled multi-agent architecture grounded in isolated container sandboxing and graph-based scheduling, AutoDev has successfully demonstrated that end-to-end autonomous software repository delivery is not merely conceptually viable, but empirically achievable with industrial-grade reliability.</w:t>
      </w:r>
    </w:p>
    <w:p>
      <w:pPr>
        <w:spacing w:line="360" w:lineRule="auto" w:after="120"/>
        <w:jc w:val="both"/>
      </w:pPr>
      <w:r>
        <w:rPr>
          <w:rFonts w:ascii="Times New Roman" w:hAnsi="Times New Roman"/>
          <w:sz w:val="24"/>
        </w:rPr>
        <w:t>Upon completion of Capstone Project-1, the platform has successfully realized all eight foundational engineering sub-objectives established in Chapter 3:</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Decoupled Multi-Agent Topology: </w:t>
      </w:r>
      <w:r>
        <w:rPr>
          <w:rFonts w:ascii="Times New Roman" w:hAnsi="Times New Roman"/>
          <w:sz w:val="24"/>
        </w:rPr>
        <w:t>Successfully implemented specialized autonomous roles (Master Architect, DAG Scheduler, CodeGen Agents, Multi-Critic Arbiters, and Sandbox Verifiers) operating with strict division of cognitive labor, eliminating conversational drift and attention saturation.</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Topological Dependency Scheduling: </w:t>
      </w:r>
      <w:r>
        <w:rPr>
          <w:rFonts w:ascii="Times New Roman" w:hAnsi="Times New Roman"/>
          <w:sz w:val="24"/>
        </w:rPr>
        <w:t>Formulated component dependency graphs scheduled concurrently via Kahn’s algorithm (O(|V| + |E|)), paired with Tarjan’s Strongly Connected Components (SCC) algorithm to dynamically detect and resolve circular dependency deadlocks.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Deadlock-Free Concurrency Control: </w:t>
      </w:r>
      <w:r>
        <w:rPr>
          <w:rFonts w:ascii="Times New Roman" w:hAnsi="Times New Roman"/>
          <w:sz w:val="24"/>
        </w:rPr>
        <w:t>Eliminated Coffman’s four deadlock conditions through total canonical lock ordering and atomic two-phase acquisition, while Martin Kleppmann’s monotonic epoch fencing tokens (τ_epoch) definitively eliminated stale overwrites from lagging zombie agents.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Dynamic Multi-Pool Smart API Key Balancer: </w:t>
      </w:r>
      <w:r>
        <w:rPr>
          <w:rFonts w:ascii="Times New Roman" w:hAnsi="Times New Roman"/>
          <w:sz w:val="24"/>
        </w:rPr>
        <w:t>Implemented a statistical multi-tier API key load balancer enforcing dynamic health penalties (ΔH = 0.40), exponential cooldown decay, and Chi-Square (χ²) fair allocation across commercial and local providers.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Universal Rootless Docker Sandbox: </w:t>
      </w:r>
      <w:r>
        <w:rPr>
          <w:rFonts w:ascii="Times New Roman" w:hAnsi="Times New Roman"/>
          <w:sz w:val="24"/>
        </w:rPr>
        <w:t>Coupled code generation with sub-second ephemeral container instantiation, enforcing Linux kernel cgroup resource caps (2.0 CPUs, 2048 MB RAM) and capturing structured stdout, stderr, and exit codes without root host privileges.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Four-Tier Multi-Critic Arbitration &amp; Self-Healing: </w:t>
      </w:r>
      <w:r>
        <w:rPr>
          <w:rFonts w:ascii="Times New Roman" w:hAnsi="Times New Roman"/>
          <w:sz w:val="24"/>
        </w:rPr>
        <w:t>Established an automated peer-review consensus network (AST Validator, Linter/Type Critic, Semantic Logic Critic, Security Auditor) that achieved a 97.6% cumulative 3-pass self-healing repair success rate across polyglot projects.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Dual Operational Paradigm Engine: </w:t>
      </w:r>
      <w:r>
        <w:rPr>
          <w:rFonts w:ascii="Times New Roman" w:hAnsi="Times New Roman"/>
          <w:sz w:val="24"/>
        </w:rPr>
        <w:t>Provided dynamic adaptability between a linear Single-Pass Autonomous SDLC engine for compact modules and a Parallel Pipeline DAG Engine achieving a 3.42× speedup factor on enterprise multi-tier systems.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Translucent Web Console with Embedded Monaco IDE: </w:t>
      </w:r>
      <w:r>
        <w:rPr>
          <w:rFonts w:ascii="Times New Roman" w:hAnsi="Times New Roman"/>
          <w:sz w:val="24"/>
        </w:rPr>
        <w:t>Constructed a hardware-accelerated translucent presentation tier in React 19, TypeScript, and Tailwind CSS, featuring full VS Code Monaco editing, real-time SSE telemetry, live container preview iframes, and one-click atomic GitHub exports.</w:t>
      </w:r>
    </w:p>
    <w:p>
      <w:pPr>
        <w:spacing w:line="360" w:lineRule="auto" w:after="120"/>
        <w:jc w:val="both"/>
      </w:pPr>
      <w:r>
        <w:rPr>
          <w:rFonts w:ascii="Times New Roman" w:hAnsi="Times New Roman"/>
          <w:sz w:val="24"/>
        </w:rPr>
        <w:t>In conclusion, AutoDev proves that the future of generative software engineering does not lie in larger monolithic prompts, but in rigorous systems-level multi-agent orchestration, deterministic graph theory, empirical runtime execution sandboxing, and mathematical concurrency guarantees.</w:t>
      </w:r>
    </w:p>
    <w:p>
      <w:pPr>
        <w:keepNext/>
        <w:spacing w:before="360" w:after="120"/>
      </w:pPr>
      <w:r>
        <w:rPr>
          <w:rFonts w:ascii="Times New Roman" w:hAnsi="Times New Roman"/>
          <w:b/>
          <w:sz w:val="28"/>
        </w:rPr>
        <w:t>6.2 Future Scope of Work</w:t>
      </w:r>
    </w:p>
    <w:p>
      <w:pPr>
        <w:spacing w:line="360" w:lineRule="auto" w:after="120"/>
        <w:jc w:val="both"/>
      </w:pPr>
      <w:r>
        <w:rPr>
          <w:rFonts w:ascii="Times New Roman" w:hAnsi="Times New Roman"/>
          <w:sz w:val="24"/>
        </w:rPr>
        <w:t>While AutoDev represents a fully operational, institutional-grade capstone platform capable of autonomous repository synthesis, the frontier of autonomous software engineering offers rich opportunities for extended investigation. To guide the Phase 2 evolution of this research, four strategic engineering trajectories are formulated:</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1. Multi-Repository Microservice Orchestration (Phase 2 Capstone Evolution): </w:t>
      </w:r>
      <w:r>
        <w:rPr>
          <w:rFonts w:ascii="Times New Roman" w:hAnsi="Times New Roman"/>
          <w:sz w:val="24"/>
        </w:rPr>
        <w:t>The current architecture is optimized for single-repository full-stack projects. Phase 2 will expand the Master Architect and DAG Scheduler to coordinate distributed microservice architectures spanning multiple independent Git repositories (e.g., an independent OAuth authentication service, an event streaming worker, a payments microservice, and a decoupled client SPA). The system will automate cross-repository API contract synchronization, gRPC Protobuf generation, and unified multi-container Kubernetes Helm chart deployments.</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2. Reinforcement Learning from Code Execution Feedback (RLCEF): </w:t>
      </w:r>
      <w:r>
        <w:rPr>
          <w:rFonts w:ascii="Times New Roman" w:hAnsi="Times New Roman"/>
          <w:sz w:val="24"/>
        </w:rPr>
        <w:t>Currently, the Multi-Critic Consensus Arbiter relies on deterministic boolean quality vectors. Future iterations will introduce a dynamic policy model trained via Reinforcement Learning from Code Execution Feedback (RLCEF). By training on thousands of automated patch iterations, the Arbiter will learn adaptive critic weighting, dynamically prioritizing security audits, type checks, or unit assertions based on the specific domain archetype of the application.</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3. Kubernetes-Orchestrated Ephemeral Sandboxing for Multi-Tenant Clusters: </w:t>
      </w:r>
      <w:r>
        <w:rPr>
          <w:rFonts w:ascii="Times New Roman" w:hAnsi="Times New Roman"/>
          <w:sz w:val="24"/>
        </w:rPr>
        <w:t>To scale AutoDev to multi-tenant cloud environments with thousands of concurrent developers, the local Docker Engine integration will transition to a distributed Kubernetes (k8s) cluster leveraging lightweight Firecracker microVMs or Kata Containers. This will provide sub-100-millisecond sandbox boot times with absolute hardware-level virtualization isolation.</w:t>
      </w:r>
    </w:p>
    <w:p>
      <w:pPr>
        <w:spacing w:line="360" w:lineRule="auto" w:after="120"/>
        <w:ind w:left="360"/>
        <w:jc w:val="both"/>
      </w:pPr>
      <w:r>
        <w:rPr>
          <w:rFonts w:ascii="Times New Roman" w:hAnsi="Times New Roman"/>
          <w:b/>
          <w:sz w:val="24"/>
        </w:rPr>
        <w:t xml:space="preserve">•  </w:t>
      </w:r>
      <w:r>
        <w:rPr>
          <w:rFonts w:ascii="Times New Roman" w:hAnsi="Times New Roman"/>
          <w:b/>
          <w:sz w:val="24"/>
        </w:rPr>
        <w:t xml:space="preserve">4. Local Air-Gapped Coding Model Integration for Zero-Data-Leakage Environments: </w:t>
      </w:r>
      <w:r>
        <w:rPr>
          <w:rFonts w:ascii="Times New Roman" w:hAnsi="Times New Roman"/>
          <w:sz w:val="24"/>
        </w:rPr>
        <w:t>To accommodate highly regulated defense, aerospace, healthcare, and financial institutions where source code cannot be transmitted to external cloud APIs, AutoDev will be extended with deep native quantization pipelines (GGUF, AWQ, vLLM) supporting state-of-the-art open-weights coding models such as DeepSeek-Coder-V2-236B and Qwen-2.5-Coder-32B on on-premise GPU clusters.</w:t>
      </w:r>
    </w:p>
    <w:p>
      <w:r>
        <w:br w:type="page"/>
      </w:r>
    </w:p>
    <w:p>
      <w:pPr>
        <w:spacing w:before="320" w:after="480"/>
        <w:jc w:val="center"/>
      </w:pPr>
      <w:r>
        <w:rPr>
          <w:rFonts w:ascii="Times New Roman" w:hAnsi="Times New Roman"/>
          <w:b/>
          <w:sz w:val="32"/>
        </w:rPr>
        <w:t>REFERENCES</w:t>
      </w:r>
    </w:p>
    <w:p>
      <w:pPr>
        <w:spacing w:line="312" w:lineRule="auto" w:after="120"/>
        <w:ind w:left="504" w:hanging="504"/>
        <w:jc w:val="both"/>
      </w:pPr>
      <w:r>
        <w:rPr>
          <w:rFonts w:ascii="Times New Roman" w:hAnsi="Times New Roman"/>
          <w:sz w:val="21"/>
        </w:rPr>
        <w:t>[1] M. Chen, J. Tworek, H. Jun, Q. Yuan, H. P. de Oliveira Pinto, J. Kaplan, H. Edwards, Y. Burda, N. Joseph, G. Brockman, et al., "Evaluating Large Language Models Trained on Code," arXiv preprint arXiv:2107.03374, 2021.</w:t>
      </w:r>
    </w:p>
    <w:p>
      <w:pPr>
        <w:spacing w:line="312" w:lineRule="auto" w:after="120"/>
        <w:ind w:left="504" w:hanging="504"/>
        <w:jc w:val="both"/>
      </w:pPr>
      <w:r>
        <w:rPr>
          <w:rFonts w:ascii="Times New Roman" w:hAnsi="Times New Roman"/>
          <w:sz w:val="21"/>
        </w:rPr>
        <w:t>[2] C. Qian, X. Dang, C. Han, J. Cai, Y. Wei, C. Liu, B. Dong, and Z. Liu, "Communicative Agents for Software Development," in Proceedings of the 62nd Annual Meeting of the Association for Computational Linguistics (ACL), pp. 14856-14872, 2024.</w:t>
      </w:r>
    </w:p>
    <w:p>
      <w:pPr>
        <w:spacing w:line="312" w:lineRule="auto" w:after="120"/>
        <w:ind w:left="504" w:hanging="504"/>
        <w:jc w:val="both"/>
      </w:pPr>
      <w:r>
        <w:rPr>
          <w:rFonts w:ascii="Times New Roman" w:hAnsi="Times New Roman"/>
          <w:sz w:val="21"/>
        </w:rPr>
        <w:t>[3] S. Hong, M. Zhuge, J. Chen, X. Zheng, C. Cheng, C. Zhang, J. Wang, Z. Wang, S. K. S. Yau, Z. Lin, et al., "MetaGPT: Meta Programming for A Multi-Agent Collaborative Framework," arXiv preprint arXiv:2308.00352, 2023.</w:t>
      </w:r>
    </w:p>
    <w:p>
      <w:pPr>
        <w:spacing w:line="312" w:lineRule="auto" w:after="120"/>
        <w:ind w:left="504" w:hanging="504"/>
        <w:jc w:val="both"/>
      </w:pPr>
      <w:r>
        <w:rPr>
          <w:rFonts w:ascii="Times New Roman" w:hAnsi="Times New Roman"/>
          <w:sz w:val="21"/>
        </w:rPr>
        <w:t>[4] J. Yang, C. E. Jimenez, A. Wettig, K. Lieret, S. Yao, K. Narasimhan, and O. Press, "SWE-agent: Agent-Computer Interfaces Enable Automated Software Engineering," arXiv preprint arXiv:2405.15793, 2024.</w:t>
      </w:r>
    </w:p>
    <w:p>
      <w:pPr>
        <w:spacing w:line="312" w:lineRule="auto" w:after="120"/>
        <w:ind w:left="504" w:hanging="504"/>
        <w:jc w:val="both"/>
      </w:pPr>
      <w:r>
        <w:rPr>
          <w:rFonts w:ascii="Times New Roman" w:hAnsi="Times New Roman"/>
          <w:sz w:val="21"/>
        </w:rPr>
        <w:t>[5] N. Shinn, F. Cassano, E. Berman, A. Gopinath, K. Narasimhan, and S. Yao, "Reflexion: Language Agents with Verbal Reinforcement Learning," in Advances in Neural Information Processing Systems (NeurIPS), vol. 36, pp. 8634-8652, 2023.</w:t>
      </w:r>
    </w:p>
    <w:p>
      <w:pPr>
        <w:spacing w:line="312" w:lineRule="auto" w:after="120"/>
        <w:ind w:left="504" w:hanging="504"/>
        <w:jc w:val="both"/>
      </w:pPr>
      <w:r>
        <w:rPr>
          <w:rFonts w:ascii="Times New Roman" w:hAnsi="Times New Roman"/>
          <w:sz w:val="21"/>
        </w:rPr>
        <w:t>[6] G. Manna and R. Waldinger, "A Deductive Approach to Program Synthesis," ACM Transactions on Programming Languages and Systems (TOPLAS), vol. 2, no. 1, pp. 90-121, 1980.</w:t>
      </w:r>
    </w:p>
    <w:p>
      <w:pPr>
        <w:spacing w:line="312" w:lineRule="auto" w:after="120"/>
        <w:ind w:left="504" w:hanging="504"/>
        <w:jc w:val="both"/>
      </w:pPr>
      <w:r>
        <w:rPr>
          <w:rFonts w:ascii="Times New Roman" w:hAnsi="Times New Roman"/>
          <w:sz w:val="21"/>
        </w:rPr>
        <w:t>[7] A. B. Kahn, "Topological Sorting of Large Networks," Communications of the ACM, vol. 5, no. 11, pp. 558-562, 1962.</w:t>
      </w:r>
    </w:p>
    <w:p>
      <w:pPr>
        <w:spacing w:line="312" w:lineRule="auto" w:after="120"/>
        <w:ind w:left="504" w:hanging="504"/>
        <w:jc w:val="both"/>
      </w:pPr>
      <w:r>
        <w:rPr>
          <w:rFonts w:ascii="Times New Roman" w:hAnsi="Times New Roman"/>
          <w:sz w:val="21"/>
        </w:rPr>
        <w:t>[8] R. Tarjan, "Depth-First Search and Linear Graph Algorithms," SIAM Journal on Computing, vol. 1, no. 2, pp. 146-160, 1972.</w:t>
      </w:r>
    </w:p>
    <w:p>
      <w:pPr>
        <w:spacing w:line="312" w:lineRule="auto" w:after="120"/>
        <w:ind w:left="504" w:hanging="504"/>
        <w:jc w:val="both"/>
      </w:pPr>
      <w:r>
        <w:rPr>
          <w:rFonts w:ascii="Times New Roman" w:hAnsi="Times New Roman"/>
          <w:sz w:val="21"/>
        </w:rPr>
        <w:t>[9] E. G. Coffman, M. J. Elphick, and A. Shoshani, "System Deadlocks," ACM Computing Surveys (CSUR), vol. 3, no. 2, pp. 67-78, 1971.</w:t>
      </w:r>
    </w:p>
    <w:p>
      <w:pPr>
        <w:spacing w:line="312" w:lineRule="auto" w:after="120"/>
        <w:ind w:left="504" w:hanging="504"/>
        <w:jc w:val="both"/>
      </w:pPr>
      <w:r>
        <w:rPr>
          <w:rFonts w:ascii="Times New Roman" w:hAnsi="Times New Roman"/>
          <w:sz w:val="21"/>
        </w:rPr>
        <w:t>[10] M. Kleppmann, Designing Data-Intensive Applications: The Big Ideas Behind Reliable, Scalable, and Maintainable Systems. Sebastopol, CA: O'Reilly Media, 2017.</w:t>
      </w:r>
    </w:p>
    <w:p>
      <w:pPr>
        <w:spacing w:line="312" w:lineRule="auto" w:after="120"/>
        <w:ind w:left="504" w:hanging="504"/>
        <w:jc w:val="both"/>
      </w:pPr>
      <w:r>
        <w:rPr>
          <w:rFonts w:ascii="Times New Roman" w:hAnsi="Times New Roman"/>
          <w:sz w:val="21"/>
        </w:rPr>
        <w:t>[11] L. Lamport, "Time, Clocks, and the Ordering of Events in a Distributed System," Communications of the ACM, vol. 21, no. 7, pp. 558-565, 1978.</w:t>
      </w:r>
    </w:p>
    <w:p>
      <w:pPr>
        <w:spacing w:line="312" w:lineRule="auto" w:after="120"/>
        <w:ind w:left="504" w:hanging="504"/>
        <w:jc w:val="both"/>
      </w:pPr>
      <w:r>
        <w:rPr>
          <w:rFonts w:ascii="Times New Roman" w:hAnsi="Times New Roman"/>
          <w:sz w:val="21"/>
        </w:rPr>
        <w:t>[12] D. Merkel, "Docker: Lightweight Linux Containers for Consistent Development and Deployment," Linux Journal, vol. 2014, no. 239, p. 2, 2014.</w:t>
      </w:r>
    </w:p>
    <w:p>
      <w:pPr>
        <w:spacing w:line="312" w:lineRule="auto" w:after="120"/>
        <w:ind w:left="504" w:hanging="504"/>
        <w:jc w:val="both"/>
      </w:pPr>
      <w:r>
        <w:rPr>
          <w:rFonts w:ascii="Times New Roman" w:hAnsi="Times New Roman"/>
          <w:sz w:val="21"/>
        </w:rPr>
        <w:t>[13] Open Web Application Security Project (OWASP), "OWASP Top 10: 2021 The Ten Most Critical Web Application Security Risks," OWASP Foundation, Nov. 2021. [Online]. Available: https://owasp.org/Top10/.</w:t>
      </w:r>
    </w:p>
    <w:p>
      <w:pPr>
        <w:spacing w:line="312" w:lineRule="auto" w:after="120"/>
        <w:ind w:left="504" w:hanging="504"/>
        <w:jc w:val="both"/>
      </w:pPr>
      <w:r>
        <w:rPr>
          <w:rFonts w:ascii="Times New Roman" w:hAnsi="Times New Roman"/>
          <w:sz w:val="21"/>
        </w:rPr>
        <w:t>[14] M. E. Fagan, "Design and Code Inspections to Reduce Errors in Program Development," IBM Systems Journal, vol. 15, no. 3, pp. 182-211, 1976.</w:t>
      </w:r>
    </w:p>
    <w:p>
      <w:pPr>
        <w:spacing w:line="312" w:lineRule="auto" w:after="120"/>
        <w:ind w:left="504" w:hanging="504"/>
        <w:jc w:val="both"/>
      </w:pPr>
      <w:r>
        <w:rPr>
          <w:rFonts w:ascii="Times New Roman" w:hAnsi="Times New Roman"/>
          <w:sz w:val="21"/>
        </w:rPr>
        <w:t>[15] K. Pearson, "On the Criterion that a Given System of Deviations from the Probable in the Case of a Correlated System of Variables is Such that it can be Reasonably Supposed to have Arisen from Random Sampling," The London, Edinburgh, and Dublin Philosophical Magazine and Journal of Science, Series 5, vol. 50, no. 302, pp. 157-175, 1900.</w:t>
      </w:r>
    </w:p>
    <w:p>
      <w:pPr>
        <w:spacing w:line="312" w:lineRule="auto" w:after="120"/>
        <w:ind w:left="504" w:hanging="504"/>
        <w:jc w:val="both"/>
      </w:pPr>
      <w:r>
        <w:rPr>
          <w:rFonts w:ascii="Times New Roman" w:hAnsi="Times New Roman"/>
          <w:sz w:val="21"/>
        </w:rPr>
        <w:t>[16] S. Ramirez, "FastAPI: High-Performance Web Framework for Python 3.8+," [Online]. Available: https://fastapi.tiangolo.com/. Accessed: Oct. 2026.</w:t>
      </w:r>
    </w:p>
    <w:p>
      <w:pPr>
        <w:spacing w:line="312" w:lineRule="auto" w:after="120"/>
        <w:ind w:left="504" w:hanging="504"/>
        <w:jc w:val="both"/>
      </w:pPr>
      <w:r>
        <w:rPr>
          <w:rFonts w:ascii="Times New Roman" w:hAnsi="Times New Roman"/>
          <w:sz w:val="21"/>
        </w:rPr>
        <w:t>[17] LangChain Inc., "LangGraph: Build Resilient Multi-Agent Language Applications," LangChain AI Documentation, 2024. [Online]. Available: https://langchain-ai.github.io/langgraph/.</w:t>
      </w:r>
    </w:p>
    <w:p>
      <w:pPr>
        <w:spacing w:line="312" w:lineRule="auto" w:after="120"/>
        <w:ind w:left="504" w:hanging="504"/>
        <w:jc w:val="both"/>
      </w:pPr>
      <w:r>
        <w:rPr>
          <w:rFonts w:ascii="Times New Roman" w:hAnsi="Times New Roman"/>
          <w:sz w:val="21"/>
        </w:rPr>
        <w:t>[18] Meta Platforms Inc., "React 19 Architecture and Component Guidelines," React Documentation, 2024. [Online]. Available: https://react.dev/.</w:t>
      </w:r>
    </w:p>
    <w:p>
      <w:pPr>
        <w:spacing w:line="312" w:lineRule="auto" w:after="120"/>
        <w:ind w:left="504" w:hanging="504"/>
        <w:jc w:val="both"/>
      </w:pPr>
      <w:r>
        <w:rPr>
          <w:rFonts w:ascii="Times New Roman" w:hAnsi="Times New Roman"/>
          <w:sz w:val="21"/>
        </w:rPr>
        <w:t>[19] Microsoft Corporation, "Monaco Editor: The Code Editor that Powers VS Code," Microsoft Open Source, 2024. [Online]. Available: https://microsoft.github.io/monaco-editor/.</w:t>
      </w:r>
    </w:p>
    <w:p>
      <w:pPr>
        <w:spacing w:line="312" w:lineRule="auto" w:after="120"/>
        <w:ind w:left="504" w:hanging="504"/>
        <w:jc w:val="both"/>
      </w:pPr>
      <w:r>
        <w:rPr>
          <w:rFonts w:ascii="Times New Roman" w:hAnsi="Times New Roman"/>
          <w:sz w:val="21"/>
        </w:rPr>
        <w:t>[20] MongoDB Inc., "MongoDB Atlas Multi-Cloud Document Database Manual," MongoDB Documentation, 2024. [Online]. Available: https://www.mongodb.com/docs/atlas/.</w:t>
      </w:r>
    </w:p>
    <w:p>
      <w:pPr>
        <w:spacing w:line="312" w:lineRule="auto" w:after="120"/>
        <w:ind w:left="504" w:hanging="504"/>
        <w:jc w:val="both"/>
      </w:pPr>
      <w:r>
        <w:rPr>
          <w:rFonts w:ascii="Times New Roman" w:hAnsi="Times New Roman"/>
          <w:sz w:val="21"/>
        </w:rPr>
        <w:t>[21] I. Fette and A. Melnikov, "The WebSocket Protocol," RFC 6455, Internet Engineering Task Force (IETF), Dec. 2011. [Online]. Available: https://www.rfc-editor.org/rfc/rfc6455.</w:t>
      </w:r>
    </w:p>
    <w:p>
      <w:pPr>
        <w:spacing w:line="312" w:lineRule="auto" w:after="120"/>
        <w:ind w:left="504" w:hanging="504"/>
        <w:jc w:val="both"/>
      </w:pPr>
      <w:r>
        <w:rPr>
          <w:rFonts w:ascii="Times New Roman" w:hAnsi="Times New Roman"/>
          <w:sz w:val="21"/>
        </w:rPr>
        <w:t>[22] I. Hickson, "Server-Sent Events," W3C Recommendation, World Wide Web Consortium, Feb. 2015. [Online]. Available: https://www.w3.org/TR/eventsource/.</w:t>
      </w:r>
    </w:p>
    <w:p>
      <w:pPr>
        <w:spacing w:line="312" w:lineRule="auto" w:after="120"/>
        <w:ind w:left="504" w:hanging="504"/>
        <w:jc w:val="both"/>
      </w:pPr>
      <w:r>
        <w:rPr>
          <w:rFonts w:ascii="Times New Roman" w:hAnsi="Times New Roman"/>
          <w:sz w:val="21"/>
        </w:rPr>
        <w:t>[23] J. Gou, B. Yu, S. J. Maybank, and D. Tao, "Knowledge Distillation: A Survey," International Journal of Computer Vision, vol. 129, no. 6, pp. 1789-1819, 2021.</w:t>
      </w:r>
    </w:p>
    <w:p>
      <w:pPr>
        <w:spacing w:line="312" w:lineRule="auto" w:after="120"/>
        <w:ind w:left="504" w:hanging="504"/>
        <w:jc w:val="both"/>
      </w:pPr>
      <w:r>
        <w:rPr>
          <w:rFonts w:ascii="Times New Roman" w:hAnsi="Times New Roman"/>
          <w:sz w:val="21"/>
        </w:rPr>
        <w:t>[24] P. Lewis, E. Perez, A. Piktus, F. Petroni, V. Karpukhin, N. Goyal, H. Kuttler, M. Lewis, W. Yih, T. RocktÃ¤schel, et al., "Retrieval-Augmented Generation for Knowledge-Intensive NLP Tasks," in Advances in Neural Information Processing Systems (NeurIPS), vol. 33, pp. 9459-9474, 2020.</w:t>
      </w:r>
    </w:p>
    <w:p>
      <w:pPr>
        <w:spacing w:line="312" w:lineRule="auto" w:after="120"/>
        <w:ind w:left="504" w:hanging="504"/>
        <w:jc w:val="both"/>
      </w:pPr>
      <w:r>
        <w:rPr>
          <w:rFonts w:ascii="Times New Roman" w:hAnsi="Times New Roman"/>
          <w:sz w:val="21"/>
        </w:rPr>
        <w:t>[25] A. Vaswani, N. Shazeer, N. Parmar, J. Uszkoreit, L. Jones, A. N. Gomez, L. Kaiser, and I. Polosukhin, "Attention Is All You Need," in Advances in Neural Information Processing Systems (NeurIPS), vol. 30, pp. 5998-6008, 2017.</w:t>
      </w:r>
    </w:p>
    <w:sectPr w:rsidR="00FC693F" w:rsidRPr="0006063C" w:rsidSect="00034616">
      <w:footerReference w:type="default" r:id="rId10"/>
      <w:pgSz w:w="11909" w:h="16834"/>
      <w:pgMar w:top="1440" w:right="1440" w:bottom="1440" w:left="144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