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Play" w:cs="Play" w:eastAsia="Play" w:hAnsi="Play"/>
          <w:sz w:val="96"/>
          <w:szCs w:val="96"/>
        </w:rPr>
      </w:pPr>
      <w:r w:rsidDel="00000000" w:rsidR="00000000" w:rsidRPr="00000000">
        <w:rPr>
          <w:rtl w:val="0"/>
        </w:rPr>
      </w:r>
    </w:p>
    <w:p w:rsidR="00000000" w:rsidDel="00000000" w:rsidP="00000000" w:rsidRDefault="00000000" w:rsidRPr="00000000" w14:paraId="00000002">
      <w:pPr>
        <w:jc w:val="center"/>
        <w:rPr>
          <w:rFonts w:ascii="Play" w:cs="Play" w:eastAsia="Play" w:hAnsi="Play"/>
          <w:sz w:val="96"/>
          <w:szCs w:val="96"/>
        </w:rPr>
      </w:pPr>
      <w:r w:rsidDel="00000000" w:rsidR="00000000" w:rsidRPr="00000000">
        <w:rPr>
          <w:rtl w:val="0"/>
        </w:rPr>
      </w:r>
    </w:p>
    <w:p w:rsidR="00000000" w:rsidDel="00000000" w:rsidP="00000000" w:rsidRDefault="00000000" w:rsidRPr="00000000" w14:paraId="00000003">
      <w:pPr>
        <w:jc w:val="center"/>
        <w:rPr>
          <w:rFonts w:ascii="Play" w:cs="Play" w:eastAsia="Play" w:hAnsi="Play"/>
          <w:sz w:val="96"/>
          <w:szCs w:val="96"/>
        </w:rPr>
      </w:pPr>
      <w:r w:rsidDel="00000000" w:rsidR="00000000" w:rsidRPr="00000000">
        <w:rPr>
          <w:rtl w:val="0"/>
        </w:rPr>
      </w:r>
    </w:p>
    <w:p w:rsidR="00000000" w:rsidDel="00000000" w:rsidP="00000000" w:rsidRDefault="00000000" w:rsidRPr="00000000" w14:paraId="00000004">
      <w:pPr>
        <w:jc w:val="center"/>
        <w:rPr>
          <w:rFonts w:ascii="Play" w:cs="Play" w:eastAsia="Play" w:hAnsi="Play"/>
          <w:sz w:val="96"/>
          <w:szCs w:val="96"/>
        </w:rPr>
      </w:pPr>
      <w:r w:rsidDel="00000000" w:rsidR="00000000" w:rsidRPr="00000000">
        <w:rPr/>
        <w:drawing>
          <wp:inline distB="0" distT="0" distL="0" distR="0">
            <wp:extent cx="5612130" cy="1160145"/>
            <wp:effectExtent b="0" l="0" r="0" t="0"/>
            <wp:docPr descr="Imagen de la pantalla de un video juego&#10;&#10;Descripción generada automáticamente con confianza baja" id="1" name="image1.png"/>
            <a:graphic>
              <a:graphicData uri="http://schemas.openxmlformats.org/drawingml/2006/picture">
                <pic:pic>
                  <pic:nvPicPr>
                    <pic:cNvPr descr="Imagen de la pantalla de un video juego&#10;&#10;Descripción generada automáticamente con confianza baja" id="0" name="image1.png"/>
                    <pic:cNvPicPr preferRelativeResize="0"/>
                  </pic:nvPicPr>
                  <pic:blipFill>
                    <a:blip r:embed="rId6"/>
                    <a:srcRect b="0" l="0" r="0" t="0"/>
                    <a:stretch>
                      <a:fillRect/>
                    </a:stretch>
                  </pic:blipFill>
                  <pic:spPr>
                    <a:xfrm>
                      <a:off x="0" y="0"/>
                      <a:ext cx="5612130" cy="1160145"/>
                    </a:xfrm>
                    <a:prstGeom prst="rect"/>
                    <a:ln/>
                  </pic:spPr>
                </pic:pic>
              </a:graphicData>
            </a:graphic>
          </wp:inline>
        </w:drawing>
      </w:r>
      <w:r w:rsidDel="00000000" w:rsidR="00000000" w:rsidRPr="00000000">
        <w:rPr>
          <w:rFonts w:ascii="Play" w:cs="Play" w:eastAsia="Play" w:hAnsi="Play"/>
          <w:sz w:val="96"/>
          <w:szCs w:val="96"/>
          <w:rtl w:val="0"/>
        </w:rPr>
        <w:t xml:space="preserve">ACTA SEMANAL</w:t>
      </w:r>
    </w:p>
    <w:p w:rsidR="00000000" w:rsidDel="00000000" w:rsidP="00000000" w:rsidRDefault="00000000" w:rsidRPr="00000000" w14:paraId="00000005">
      <w:pPr>
        <w:jc w:val="center"/>
        <w:rPr/>
      </w:pPr>
      <w:r w:rsidDel="00000000" w:rsidR="00000000" w:rsidRPr="00000000">
        <w:rPr>
          <w:rtl w:val="0"/>
        </w:rPr>
        <w:t xml:space="preserve">Semana n°13</w:t>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jc w:val="both"/>
        <w:rPr>
          <w:b w:val="1"/>
        </w:rPr>
      </w:pPr>
      <w:r w:rsidDel="00000000" w:rsidR="00000000" w:rsidRPr="00000000">
        <w:rPr>
          <w:b w:val="1"/>
          <w:rtl w:val="0"/>
        </w:rPr>
        <w:t xml:space="preserve">Avance esperado</w:t>
      </w:r>
    </w:p>
    <w:p w:rsidR="00000000" w:rsidDel="00000000" w:rsidP="00000000" w:rsidRDefault="00000000" w:rsidRPr="00000000" w14:paraId="00000008">
      <w:pPr>
        <w:jc w:val="both"/>
        <w:rPr/>
      </w:pPr>
      <w:r w:rsidDel="00000000" w:rsidR="00000000" w:rsidRPr="00000000">
        <w:rPr>
          <w:rtl w:val="0"/>
        </w:rPr>
        <w:t xml:space="preserve">Según lo analizado en nuestra carta Gantt, el día de hoy se deberían estar realizando pruebas de compatibilidad con otros mods de Minecraft, para asegurar que el producto pueda ser utilizado a la par de otros proyectos de parte de la comunidad sin mayores inconvenientes.</w:t>
      </w:r>
    </w:p>
    <w:p w:rsidR="00000000" w:rsidDel="00000000" w:rsidP="00000000" w:rsidRDefault="00000000" w:rsidRPr="00000000" w14:paraId="00000009">
      <w:pPr>
        <w:jc w:val="both"/>
        <w:rPr>
          <w:b w:val="1"/>
        </w:rPr>
      </w:pPr>
      <w:r w:rsidDel="00000000" w:rsidR="00000000" w:rsidRPr="00000000">
        <w:rPr>
          <w:b w:val="1"/>
          <w:rtl w:val="0"/>
        </w:rPr>
        <w:t xml:space="preserve">Avance real</w:t>
      </w:r>
    </w:p>
    <w:p w:rsidR="00000000" w:rsidDel="00000000" w:rsidP="00000000" w:rsidRDefault="00000000" w:rsidRPr="00000000" w14:paraId="0000000A">
      <w:pPr>
        <w:jc w:val="both"/>
        <w:rPr/>
      </w:pPr>
      <w:r w:rsidDel="00000000" w:rsidR="00000000" w:rsidRPr="00000000">
        <w:rPr>
          <w:rtl w:val="0"/>
        </w:rPr>
        <w:t xml:space="preserve">Se realizaron pruebas con mods los siguientes mods, y se identificó si es compatible o no:</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Sodium – Realiza cambios gráficos para optimizar el juego [No Compatible]</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Phosphor – Realiza cambios en la iluminación para optimizar el juego [No Compatible]</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Lithium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Realiza cambios en el comportamiento del juego para optimizar el juego [No Compatible]</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Terrestria | Environmental | Caves &amp; Cliffs Backport – Implementan nuevas características de generación de terreno, entidades y bloques [Compatibles]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CaveBiomeAPI – Integra biomas de cuevas [Compatible]</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Immersive Portals – Realiza cambios en el funcionamiento de portales [No Compatible]</w:t>
      </w:r>
    </w:p>
    <w:p w:rsidR="00000000" w:rsidDel="00000000" w:rsidP="00000000" w:rsidRDefault="00000000" w:rsidRPr="00000000" w14:paraId="0000001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b w:val="1"/>
          <w:rtl w:val="0"/>
        </w:rPr>
        <w:t xml:space="preserve">Evidencias</w:t>
      </w:r>
    </w:p>
    <w:p w:rsidR="00000000" w:rsidDel="00000000" w:rsidP="00000000" w:rsidRDefault="00000000" w:rsidRPr="00000000" w14:paraId="00000013">
      <w:pPr>
        <w:jc w:val="both"/>
        <w:rPr/>
      </w:pPr>
      <w:r w:rsidDel="00000000" w:rsidR="00000000" w:rsidRPr="00000000">
        <w:rPr>
          <w:rtl w:val="0"/>
        </w:rPr>
        <w:t xml:space="preserve">Generación de biomas de cuevas con CaveBiomeAPI y Caves &amp; Cliffs Backport</w:t>
      </w:r>
    </w:p>
    <w:p w:rsidR="00000000" w:rsidDel="00000000" w:rsidP="00000000" w:rsidRDefault="00000000" w:rsidRPr="00000000" w14:paraId="00000014">
      <w:pPr>
        <w:jc w:val="both"/>
        <w:rPr/>
      </w:pPr>
      <w:r w:rsidDel="00000000" w:rsidR="00000000" w:rsidRPr="00000000">
        <w:rPr/>
        <w:drawing>
          <wp:inline distB="0" distT="0" distL="0" distR="0">
            <wp:extent cx="5612130" cy="2939415"/>
            <wp:effectExtent b="0" l="0" r="0" t="0"/>
            <wp:docPr descr="Imagen digital de una casa&#10;&#10;Descripción generada automáticamente con confianza baja" id="3" name="image3.png"/>
            <a:graphic>
              <a:graphicData uri="http://schemas.openxmlformats.org/drawingml/2006/picture">
                <pic:pic>
                  <pic:nvPicPr>
                    <pic:cNvPr descr="Imagen digital de una casa&#10;&#10;Descripción generada automáticamente con confianza baja" id="0" name="image3.png"/>
                    <pic:cNvPicPr preferRelativeResize="0"/>
                  </pic:nvPicPr>
                  <pic:blipFill>
                    <a:blip r:embed="rId7"/>
                    <a:srcRect b="0" l="0" r="0" t="0"/>
                    <a:stretch>
                      <a:fillRect/>
                    </a:stretch>
                  </pic:blipFill>
                  <pic:spPr>
                    <a:xfrm>
                      <a:off x="0" y="0"/>
                      <a:ext cx="5612130" cy="2939415"/>
                    </a:xfrm>
                    <a:prstGeom prst="rect"/>
                    <a:ln/>
                  </pic:spPr>
                </pic:pic>
              </a:graphicData>
            </a:graphic>
          </wp:inline>
        </w:drawing>
      </w:r>
      <w:r w:rsidDel="00000000" w:rsidR="00000000" w:rsidRPr="00000000">
        <w:rPr/>
        <w:drawing>
          <wp:inline distB="0" distT="0" distL="0" distR="0">
            <wp:extent cx="5612130" cy="3028315"/>
            <wp:effectExtent b="0" l="0" r="0" t="0"/>
            <wp:docPr descr="Imagen que contiene naturaleza, valle, oscuro, puesta de sol&#10;&#10;Descripción generada automáticamente" id="2" name="image2.png"/>
            <a:graphic>
              <a:graphicData uri="http://schemas.openxmlformats.org/drawingml/2006/picture">
                <pic:pic>
                  <pic:nvPicPr>
                    <pic:cNvPr descr="Imagen que contiene naturaleza, valle, oscuro, puesta de sol&#10;&#10;Descripción generada automáticamente" id="0" name="image2.png"/>
                    <pic:cNvPicPr preferRelativeResize="0"/>
                  </pic:nvPicPr>
                  <pic:blipFill>
                    <a:blip r:embed="rId8"/>
                    <a:srcRect b="0" l="0" r="0" t="0"/>
                    <a:stretch>
                      <a:fillRect/>
                    </a:stretch>
                  </pic:blipFill>
                  <pic:spPr>
                    <a:xfrm>
                      <a:off x="0" y="0"/>
                      <a:ext cx="5612130" cy="302831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tl w:val="0"/>
        </w:rPr>
        <w:t xml:space="preserve">Factores que afectaron en el desarrollo</w:t>
      </w:r>
    </w:p>
    <w:p w:rsidR="00000000" w:rsidDel="00000000" w:rsidP="00000000" w:rsidRDefault="00000000" w:rsidRPr="00000000" w14:paraId="00000017">
      <w:pPr>
        <w:jc w:val="both"/>
        <w:rPr/>
      </w:pPr>
      <w:r w:rsidDel="00000000" w:rsidR="00000000" w:rsidRPr="00000000">
        <w:rPr>
          <w:rtl w:val="0"/>
        </w:rPr>
        <w:t xml:space="preserve">El ordenador que se estaba utilizando para el desarrollo del mod estaba funcionando desde un disco duro externo debido a un problema previo, se llevó a mantención con el fin de instalarle Windows en un disco duro interno, adicionalmente se le realizó un cambio en la pasta térmica del procesador.</w:t>
      </w:r>
    </w:p>
    <w:p w:rsidR="00000000" w:rsidDel="00000000" w:rsidP="00000000" w:rsidRDefault="00000000" w:rsidRPr="00000000" w14:paraId="00000018">
      <w:pPr>
        <w:jc w:val="both"/>
        <w:rPr/>
      </w:pPr>
      <w:r w:rsidDel="00000000" w:rsidR="00000000" w:rsidRPr="00000000">
        <w:rPr>
          <w:rtl w:val="0"/>
        </w:rPr>
        <w:t xml:space="preserve">Se tuvo que realizar una instalación desde cero, y el ordenador comenzó a no rendir bien en el desarrollo del mod o la ejecución de este en el proceso de realización de pruebas.</w:t>
      </w:r>
    </w:p>
    <w:p w:rsidR="00000000" w:rsidDel="00000000" w:rsidP="00000000" w:rsidRDefault="00000000" w:rsidRPr="00000000" w14:paraId="00000019">
      <w:pPr>
        <w:jc w:val="both"/>
        <w:rPr/>
      </w:pPr>
      <w:r w:rsidDel="00000000" w:rsidR="00000000" w:rsidRPr="00000000">
        <w:rPr>
          <w:rtl w:val="0"/>
        </w:rPr>
        <w:t xml:space="preserve">Tras unos días, se descubrió que, al cambiarle la pasta térmica, se olvidaron de conectar nuevamente el disipador del procesador, por lo que este se sobre calentaba y no permitía al ordenador rendir eficientemente.</w:t>
      </w:r>
    </w:p>
    <w:p w:rsidR="00000000" w:rsidDel="00000000" w:rsidP="00000000" w:rsidRDefault="00000000" w:rsidRPr="00000000" w14:paraId="0000001A">
      <w:pPr>
        <w:jc w:val="both"/>
        <w:rPr>
          <w:b w:val="1"/>
        </w:rPr>
      </w:pPr>
      <w:r w:rsidDel="00000000" w:rsidR="00000000" w:rsidRPr="00000000">
        <w:rPr>
          <w:b w:val="1"/>
          <w:rtl w:val="0"/>
        </w:rPr>
        <w:t xml:space="preserve">Próximos pasos</w:t>
      </w:r>
    </w:p>
    <w:p w:rsidR="00000000" w:rsidDel="00000000" w:rsidP="00000000" w:rsidRDefault="00000000" w:rsidRPr="00000000" w14:paraId="0000001B">
      <w:pPr>
        <w:jc w:val="both"/>
        <w:rPr/>
      </w:pPr>
      <w:r w:rsidDel="00000000" w:rsidR="00000000" w:rsidRPr="00000000">
        <w:rPr>
          <w:rtl w:val="0"/>
        </w:rPr>
        <w:t xml:space="preserve">Durante estos días se continuará la identificación de posibles incompatibilidades con el fin de implementar su respectiva corrección de errores previa a las pruebas de calidad.</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8"/>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E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