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Calibri" w:hAnsi="Calibri"/>
          <w:b/>
          <w:color w:val="1F3A5F"/>
          <w:sz w:val="48"/>
        </w:rPr>
        <w:t>Rubric Cross-Check Matrix</w:t>
      </w:r>
    </w:p>
    <w:p>
      <w:pPr>
        <w:jc w:val="center"/>
      </w:pPr>
      <w:r>
        <w:rPr>
          <w:rFonts w:ascii="Calibri" w:hAnsi="Calibri"/>
          <w:i/>
          <w:color w:val="555555"/>
          <w:sz w:val="24"/>
        </w:rPr>
        <w:t>MSBA 305 Final Submission — Pre-Submission Self-Assessment</w:t>
      </w:r>
    </w:p>
    <w:p>
      <w:pPr>
        <w:spacing w:after="80"/>
      </w:pPr>
      <w:r>
        <w:rPr>
          <w:rFonts w:ascii="Calibri" w:hAnsi="Calibri"/>
          <w:b w:val="0"/>
          <w:i w:val="0"/>
          <w:sz w:val="22"/>
        </w:rPr>
      </w:r>
    </w:p>
    <w:p>
      <w:pPr>
        <w:spacing w:after="80"/>
      </w:pPr>
      <w:r>
        <w:rPr>
          <w:rFonts w:ascii="Calibri" w:hAnsi="Calibri"/>
          <w:b w:val="0"/>
          <w:i w:val="0"/>
          <w:sz w:val="22"/>
        </w:rPr>
        <w:t>This document walks every line of the official pre-submission checklist and maps it to the exact location where the requirement is addressed across the submitted deliverables (Report, Code, README, Diagrams, Notebook). Use this to confirm complete coverage before submission and to navigate the defense in Q&amp;A.</w:t>
      </w:r>
    </w:p>
    <w:p>
      <w:pPr>
        <w:spacing w:after="80"/>
      </w:pPr>
      <w:r>
        <w:rPr>
          <w:rFonts w:ascii="Calibri" w:hAnsi="Calibri"/>
          <w:b/>
          <w:i w:val="0"/>
          <w:sz w:val="22"/>
        </w:rPr>
        <w:t>Legend:</w:t>
      </w:r>
    </w:p>
    <w:p>
      <w:pPr>
        <w:spacing w:after="80"/>
      </w:pPr>
      <w:r>
        <w:rPr>
          <w:rFonts w:ascii="Calibri" w:hAnsi="Calibri"/>
          <w:b w:val="0"/>
          <w:i w:val="0"/>
          <w:sz w:val="22"/>
        </w:rPr>
        <w:t>✅ Met — requirement is addressed in the deliverables with specific location cited.</w:t>
      </w:r>
    </w:p>
    <w:p>
      <w:pPr>
        <w:spacing w:after="80"/>
      </w:pPr>
      <w:r>
        <w:rPr>
          <w:rFonts w:ascii="Calibri" w:hAnsi="Calibri"/>
          <w:b w:val="0"/>
          <w:i w:val="0"/>
          <w:sz w:val="22"/>
        </w:rPr>
        <w:t>🟡 Partial — addressed but with caveat or dependency on a reviewer action.</w:t>
      </w:r>
    </w:p>
    <w:p>
      <w:pPr>
        <w:spacing w:after="80"/>
      </w:pPr>
      <w:r>
        <w:rPr>
          <w:rFonts w:ascii="Calibri" w:hAnsi="Calibri"/>
          <w:b w:val="0"/>
          <w:i w:val="0"/>
          <w:color w:val="B03030"/>
          <w:sz w:val="22"/>
        </w:rPr>
        <w:t>❌ Not met — gap, to be addressed before submission.</w:t>
      </w:r>
    </w:p>
    <w:p>
      <w:pPr>
        <w:spacing w:after="80"/>
      </w:pPr>
      <w:r>
        <w:rPr>
          <w:rFonts w:ascii="Calibri" w:hAnsi="Calibri"/>
          <w:b w:val="0"/>
          <w:i w:val="0"/>
          <w:sz w:val="22"/>
        </w:rPr>
      </w:r>
    </w:p>
    <w:p>
      <w:pPr>
        <w:pStyle w:val="Heading2"/>
      </w:pPr>
      <w:r>
        <w:rPr>
          <w:rFonts w:ascii="Calibri" w:hAnsi="Calibri"/>
          <w:color w:val="1F3A5F"/>
        </w:rPr>
        <w:t>Summary scorecard</w:t>
      </w:r>
    </w:p>
    <w:tbl>
      <w:tblPr>
        <w:tblStyle w:val="LightGrid-Accent1"/>
        <w:tblW w:type="auto" w:w="0"/>
        <w:tblLook w:firstColumn="1" w:firstRow="1" w:lastColumn="0" w:lastRow="0" w:noHBand="0" w:noVBand="1" w:val="04A0"/>
      </w:tblPr>
      <w:tblGrid>
        <w:gridCol w:w="2493"/>
        <w:gridCol w:w="2493"/>
        <w:gridCol w:w="2493"/>
        <w:gridCol w:w="2493"/>
      </w:tblGrid>
      <w:tr>
        <w:tc>
          <w:tcPr>
            <w:tcW w:type="dxa" w:w="3312"/>
            <w:shd w:val="clear" w:color="auto" w:fill="1F3A5F"/>
          </w:tcPr>
          <w:p>
            <w:r>
              <w:rPr>
                <w:rFonts w:ascii="Calibri" w:hAnsi="Calibri"/>
                <w:b/>
                <w:color w:val="FFFFFF"/>
                <w:sz w:val="20"/>
              </w:rPr>
              <w:t>Section</w:t>
            </w:r>
          </w:p>
        </w:tc>
        <w:tc>
          <w:tcPr>
            <w:tcW w:type="dxa" w:w="1152"/>
            <w:shd w:val="clear" w:color="auto" w:fill="1F3A5F"/>
          </w:tcPr>
          <w:p>
            <w:r>
              <w:rPr>
                <w:rFonts w:ascii="Calibri" w:hAnsi="Calibri"/>
                <w:b/>
                <w:color w:val="FFFFFF"/>
                <w:sz w:val="20"/>
              </w:rPr>
              <w:t>Weight</w:t>
            </w:r>
          </w:p>
        </w:tc>
        <w:tc>
          <w:tcPr>
            <w:tcW w:type="dxa" w:w="1296"/>
            <w:shd w:val="clear" w:color="auto" w:fill="1F3A5F"/>
          </w:tcPr>
          <w:p>
            <w:r>
              <w:rPr>
                <w:rFonts w:ascii="Calibri" w:hAnsi="Calibri"/>
                <w:b/>
                <w:color w:val="FFFFFF"/>
                <w:sz w:val="20"/>
              </w:rPr>
              <w:t>Status</w:t>
            </w:r>
          </w:p>
        </w:tc>
        <w:tc>
          <w:tcPr>
            <w:tcW w:type="dxa" w:w="3600"/>
            <w:shd w:val="clear" w:color="auto" w:fill="1F3A5F"/>
          </w:tcPr>
          <w:p>
            <w:r>
              <w:rPr>
                <w:rFonts w:ascii="Calibri" w:hAnsi="Calibri"/>
                <w:b/>
                <w:color w:val="FFFFFF"/>
                <w:sz w:val="20"/>
              </w:rPr>
              <w:t>Key artefact</w:t>
            </w:r>
          </w:p>
        </w:tc>
      </w:tr>
      <w:tr>
        <w:tc>
          <w:tcPr>
            <w:tcW w:type="dxa" w:w="3312"/>
          </w:tcPr>
          <w:p>
            <w:r>
              <w:rPr>
                <w:rFonts w:ascii="Calibri" w:hAnsi="Calibri"/>
                <w:b/>
                <w:sz w:val="18"/>
              </w:rPr>
              <w:t>A1 Domain &amp; Problem Framing</w:t>
            </w:r>
          </w:p>
        </w:tc>
        <w:tc>
          <w:tcPr>
            <w:tcW w:type="dxa" w:w="1152"/>
          </w:tcPr>
          <w:p>
            <w:r>
              <w:rPr>
                <w:rFonts w:ascii="Calibri" w:hAnsi="Calibri"/>
                <w:sz w:val="18"/>
              </w:rPr>
              <w:t>3</w:t>
            </w:r>
          </w:p>
        </w:tc>
        <w:tc>
          <w:tcPr>
            <w:tcW w:type="dxa" w:w="1296"/>
            <w:shd w:val="clear" w:color="auto" w:fill="D4EDDA"/>
          </w:tcPr>
          <w:p>
            <w:r>
              <w:rPr>
                <w:rFonts w:ascii="Calibri" w:hAnsi="Calibri"/>
                <w:sz w:val="18"/>
              </w:rPr>
              <w:t>✅ Met</w:t>
            </w:r>
          </w:p>
        </w:tc>
        <w:tc>
          <w:tcPr>
            <w:tcW w:type="dxa" w:w="3600"/>
          </w:tcPr>
          <w:p>
            <w:r>
              <w:rPr>
                <w:rFonts w:ascii="Calibri" w:hAnsi="Calibri"/>
                <w:sz w:val="18"/>
              </w:rPr>
              <w:t>Report §A1, Executive Summary</w:t>
            </w:r>
          </w:p>
        </w:tc>
      </w:tr>
      <w:tr>
        <w:tc>
          <w:tcPr>
            <w:tcW w:type="dxa" w:w="3312"/>
          </w:tcPr>
          <w:p>
            <w:r>
              <w:rPr>
                <w:rFonts w:ascii="Calibri" w:hAnsi="Calibri"/>
                <w:b/>
                <w:sz w:val="18"/>
              </w:rPr>
              <w:t>A2 Data Source Appraisal</w:t>
            </w:r>
          </w:p>
        </w:tc>
        <w:tc>
          <w:tcPr>
            <w:tcW w:type="dxa" w:w="1152"/>
          </w:tcPr>
          <w:p>
            <w:r>
              <w:rPr>
                <w:rFonts w:ascii="Calibri" w:hAnsi="Calibri"/>
                <w:sz w:val="18"/>
              </w:rPr>
              <w:t>4</w:t>
            </w:r>
          </w:p>
        </w:tc>
        <w:tc>
          <w:tcPr>
            <w:tcW w:type="dxa" w:w="1296"/>
            <w:shd w:val="clear" w:color="auto" w:fill="D4EDDA"/>
          </w:tcPr>
          <w:p>
            <w:r>
              <w:rPr>
                <w:rFonts w:ascii="Calibri" w:hAnsi="Calibri"/>
                <w:sz w:val="18"/>
              </w:rPr>
              <w:t>✅ Met</w:t>
            </w:r>
          </w:p>
        </w:tc>
        <w:tc>
          <w:tcPr>
            <w:tcW w:type="dxa" w:w="3600"/>
          </w:tcPr>
          <w:p>
            <w:r>
              <w:rPr>
                <w:rFonts w:ascii="Calibri" w:hAnsi="Calibri"/>
                <w:sz w:val="18"/>
              </w:rPr>
              <w:t>Report §A2 (3 sources × 5 dimensions)</w:t>
            </w:r>
          </w:p>
        </w:tc>
      </w:tr>
      <w:tr>
        <w:tc>
          <w:tcPr>
            <w:tcW w:type="dxa" w:w="3312"/>
          </w:tcPr>
          <w:p>
            <w:r>
              <w:rPr>
                <w:rFonts w:ascii="Calibri" w:hAnsi="Calibri"/>
                <w:b/>
                <w:sz w:val="18"/>
              </w:rPr>
              <w:t>A3 Ingestion Pipeline Design</w:t>
            </w:r>
          </w:p>
        </w:tc>
        <w:tc>
          <w:tcPr>
            <w:tcW w:type="dxa" w:w="1152"/>
          </w:tcPr>
          <w:p>
            <w:r>
              <w:rPr>
                <w:rFonts w:ascii="Calibri" w:hAnsi="Calibri"/>
                <w:sz w:val="18"/>
              </w:rPr>
              <w:t>4</w:t>
            </w:r>
          </w:p>
        </w:tc>
        <w:tc>
          <w:tcPr>
            <w:tcW w:type="dxa" w:w="1296"/>
            <w:shd w:val="clear" w:color="auto" w:fill="D4EDDA"/>
          </w:tcPr>
          <w:p>
            <w:r>
              <w:rPr>
                <w:rFonts w:ascii="Calibri" w:hAnsi="Calibri"/>
                <w:sz w:val="18"/>
              </w:rPr>
              <w:t>✅ Met</w:t>
            </w:r>
          </w:p>
        </w:tc>
        <w:tc>
          <w:tcPr>
            <w:tcW w:type="dxa" w:w="3600"/>
          </w:tcPr>
          <w:p>
            <w:r>
              <w:rPr>
                <w:rFonts w:ascii="Calibri" w:hAnsi="Calibri"/>
                <w:sz w:val="18"/>
              </w:rPr>
              <w:t>Report §A3 + decision matrix</w:t>
            </w:r>
          </w:p>
        </w:tc>
      </w:tr>
      <w:tr>
        <w:tc>
          <w:tcPr>
            <w:tcW w:type="dxa" w:w="3312"/>
          </w:tcPr>
          <w:p>
            <w:r>
              <w:rPr>
                <w:rFonts w:ascii="Calibri" w:hAnsi="Calibri"/>
                <w:b/>
                <w:sz w:val="18"/>
              </w:rPr>
              <w:t>A4 Storage Architecture Design</w:t>
            </w:r>
          </w:p>
        </w:tc>
        <w:tc>
          <w:tcPr>
            <w:tcW w:type="dxa" w:w="1152"/>
          </w:tcPr>
          <w:p>
            <w:r>
              <w:rPr>
                <w:rFonts w:ascii="Calibri" w:hAnsi="Calibri"/>
                <w:sz w:val="18"/>
              </w:rPr>
              <w:t>6 HIGH</w:t>
            </w:r>
          </w:p>
        </w:tc>
        <w:tc>
          <w:tcPr>
            <w:tcW w:type="dxa" w:w="1296"/>
            <w:shd w:val="clear" w:color="auto" w:fill="D4EDDA"/>
          </w:tcPr>
          <w:p>
            <w:r>
              <w:rPr>
                <w:rFonts w:ascii="Calibri" w:hAnsi="Calibri"/>
                <w:sz w:val="18"/>
              </w:rPr>
              <w:t>✅ Met</w:t>
            </w:r>
          </w:p>
        </w:tc>
        <w:tc>
          <w:tcPr>
            <w:tcW w:type="dxa" w:w="3600"/>
          </w:tcPr>
          <w:p>
            <w:r>
              <w:rPr>
                <w:rFonts w:ascii="Calibri" w:hAnsi="Calibri"/>
                <w:sz w:val="18"/>
              </w:rPr>
              <w:t>Report §A4 + ER diagram + storage matrix</w:t>
            </w:r>
          </w:p>
        </w:tc>
      </w:tr>
      <w:tr>
        <w:tc>
          <w:tcPr>
            <w:tcW w:type="dxa" w:w="3312"/>
          </w:tcPr>
          <w:p>
            <w:r>
              <w:rPr>
                <w:rFonts w:ascii="Calibri" w:hAnsi="Calibri"/>
                <w:b/>
                <w:sz w:val="18"/>
              </w:rPr>
              <w:t>A5 Data Cleaning &amp; Transformation</w:t>
            </w:r>
          </w:p>
        </w:tc>
        <w:tc>
          <w:tcPr>
            <w:tcW w:type="dxa" w:w="1152"/>
          </w:tcPr>
          <w:p>
            <w:r>
              <w:rPr>
                <w:rFonts w:ascii="Calibri" w:hAnsi="Calibri"/>
                <w:sz w:val="18"/>
              </w:rPr>
              <w:t>5</w:t>
            </w:r>
          </w:p>
        </w:tc>
        <w:tc>
          <w:tcPr>
            <w:tcW w:type="dxa" w:w="1296"/>
            <w:shd w:val="clear" w:color="auto" w:fill="D4EDDA"/>
          </w:tcPr>
          <w:p>
            <w:r>
              <w:rPr>
                <w:rFonts w:ascii="Calibri" w:hAnsi="Calibri"/>
                <w:sz w:val="18"/>
              </w:rPr>
              <w:t>✅ Met</w:t>
            </w:r>
          </w:p>
        </w:tc>
        <w:tc>
          <w:tcPr>
            <w:tcW w:type="dxa" w:w="3600"/>
          </w:tcPr>
          <w:p>
            <w:r>
              <w:rPr>
                <w:rFonts w:ascii="Calibri" w:hAnsi="Calibri"/>
                <w:sz w:val="18"/>
              </w:rPr>
              <w:t>Report §A5 + before/after table</w:t>
            </w:r>
          </w:p>
        </w:tc>
      </w:tr>
      <w:tr>
        <w:tc>
          <w:tcPr>
            <w:tcW w:type="dxa" w:w="3312"/>
          </w:tcPr>
          <w:p>
            <w:r>
              <w:rPr>
                <w:rFonts w:ascii="Calibri" w:hAnsi="Calibri"/>
                <w:b/>
                <w:sz w:val="18"/>
              </w:rPr>
              <w:t>A6 Processing Paradigm</w:t>
            </w:r>
          </w:p>
        </w:tc>
        <w:tc>
          <w:tcPr>
            <w:tcW w:type="dxa" w:w="1152"/>
          </w:tcPr>
          <w:p>
            <w:r>
              <w:rPr>
                <w:rFonts w:ascii="Calibri" w:hAnsi="Calibri"/>
                <w:sz w:val="18"/>
              </w:rPr>
              <w:t>4</w:t>
            </w:r>
          </w:p>
        </w:tc>
        <w:tc>
          <w:tcPr>
            <w:tcW w:type="dxa" w:w="1296"/>
            <w:shd w:val="clear" w:color="auto" w:fill="D4EDDA"/>
          </w:tcPr>
          <w:p>
            <w:r>
              <w:rPr>
                <w:rFonts w:ascii="Calibri" w:hAnsi="Calibri"/>
                <w:sz w:val="18"/>
              </w:rPr>
              <w:t>✅ Met</w:t>
            </w:r>
          </w:p>
        </w:tc>
        <w:tc>
          <w:tcPr>
            <w:tcW w:type="dxa" w:w="3600"/>
          </w:tcPr>
          <w:p>
            <w:r>
              <w:rPr>
                <w:rFonts w:ascii="Calibri" w:hAnsi="Calibri"/>
                <w:sz w:val="18"/>
              </w:rPr>
              <w:t>Report §A6 + EDA visualisations</w:t>
            </w:r>
          </w:p>
        </w:tc>
      </w:tr>
      <w:tr>
        <w:tc>
          <w:tcPr>
            <w:tcW w:type="dxa" w:w="3312"/>
          </w:tcPr>
          <w:p>
            <w:r>
              <w:rPr>
                <w:rFonts w:ascii="Calibri" w:hAnsi="Calibri"/>
                <w:b/>
                <w:sz w:val="18"/>
              </w:rPr>
              <w:t>A7 Analytical Queries</w:t>
            </w:r>
          </w:p>
        </w:tc>
        <w:tc>
          <w:tcPr>
            <w:tcW w:type="dxa" w:w="1152"/>
          </w:tcPr>
          <w:p>
            <w:r>
              <w:rPr>
                <w:rFonts w:ascii="Calibri" w:hAnsi="Calibri"/>
                <w:sz w:val="18"/>
              </w:rPr>
              <w:t>5</w:t>
            </w:r>
          </w:p>
        </w:tc>
        <w:tc>
          <w:tcPr>
            <w:tcW w:type="dxa" w:w="1296"/>
            <w:shd w:val="clear" w:color="auto" w:fill="D4EDDA"/>
          </w:tcPr>
          <w:p>
            <w:r>
              <w:rPr>
                <w:rFonts w:ascii="Calibri" w:hAnsi="Calibri"/>
                <w:sz w:val="18"/>
              </w:rPr>
              <w:t>✅ Met</w:t>
            </w:r>
          </w:p>
        </w:tc>
        <w:tc>
          <w:tcPr>
            <w:tcW w:type="dxa" w:w="3600"/>
          </w:tcPr>
          <w:p>
            <w:r>
              <w:rPr>
                <w:rFonts w:ascii="Calibri" w:hAnsi="Calibri"/>
                <w:sz w:val="18"/>
              </w:rPr>
              <w:t>Report §A7 + code/pipeline.py (Q1–Q5)</w:t>
            </w:r>
          </w:p>
        </w:tc>
      </w:tr>
      <w:tr>
        <w:tc>
          <w:tcPr>
            <w:tcW w:type="dxa" w:w="3312"/>
          </w:tcPr>
          <w:p>
            <w:r>
              <w:rPr>
                <w:rFonts w:ascii="Calibri" w:hAnsi="Calibri"/>
                <w:b/>
                <w:sz w:val="18"/>
              </w:rPr>
              <w:t>A8 Visualisation &amp; Reporting</w:t>
            </w:r>
          </w:p>
        </w:tc>
        <w:tc>
          <w:tcPr>
            <w:tcW w:type="dxa" w:w="1152"/>
          </w:tcPr>
          <w:p>
            <w:r>
              <w:rPr>
                <w:rFonts w:ascii="Calibri" w:hAnsi="Calibri"/>
                <w:sz w:val="18"/>
              </w:rPr>
              <w:t>4</w:t>
            </w:r>
          </w:p>
        </w:tc>
        <w:tc>
          <w:tcPr>
            <w:tcW w:type="dxa" w:w="1296"/>
            <w:shd w:val="clear" w:color="auto" w:fill="D4EDDA"/>
          </w:tcPr>
          <w:p>
            <w:r>
              <w:rPr>
                <w:rFonts w:ascii="Calibri" w:hAnsi="Calibri"/>
                <w:sz w:val="18"/>
              </w:rPr>
              <w:t>✅ Met</w:t>
            </w:r>
          </w:p>
        </w:tc>
        <w:tc>
          <w:tcPr>
            <w:tcW w:type="dxa" w:w="3600"/>
          </w:tcPr>
          <w:p>
            <w:r>
              <w:rPr>
                <w:rFonts w:ascii="Calibri" w:hAnsi="Calibri"/>
                <w:sz w:val="18"/>
              </w:rPr>
              <w:t>Report §A8 (6 embedded charts) + dashboard mockup</w:t>
            </w:r>
          </w:p>
        </w:tc>
      </w:tr>
      <w:tr>
        <w:tc>
          <w:tcPr>
            <w:tcW w:type="dxa" w:w="3312"/>
          </w:tcPr>
          <w:p>
            <w:r>
              <w:rPr>
                <w:rFonts w:ascii="Calibri" w:hAnsi="Calibri"/>
                <w:b/>
                <w:sz w:val="18"/>
              </w:rPr>
              <w:t>A9 Security, Governance &amp; Archival</w:t>
            </w:r>
          </w:p>
        </w:tc>
        <w:tc>
          <w:tcPr>
            <w:tcW w:type="dxa" w:w="1152"/>
          </w:tcPr>
          <w:p>
            <w:r>
              <w:rPr>
                <w:rFonts w:ascii="Calibri" w:hAnsi="Calibri"/>
                <w:sz w:val="18"/>
              </w:rPr>
              <w:t>4</w:t>
            </w:r>
          </w:p>
        </w:tc>
        <w:tc>
          <w:tcPr>
            <w:tcW w:type="dxa" w:w="1296"/>
            <w:shd w:val="clear" w:color="auto" w:fill="D4EDDA"/>
          </w:tcPr>
          <w:p>
            <w:r>
              <w:rPr>
                <w:rFonts w:ascii="Calibri" w:hAnsi="Calibri"/>
                <w:sz w:val="18"/>
              </w:rPr>
              <w:t>✅ Met</w:t>
            </w:r>
          </w:p>
        </w:tc>
        <w:tc>
          <w:tcPr>
            <w:tcW w:type="dxa" w:w="3600"/>
          </w:tcPr>
          <w:p>
            <w:r>
              <w:rPr>
                <w:rFonts w:ascii="Calibri" w:hAnsi="Calibri"/>
                <w:sz w:val="18"/>
              </w:rPr>
              <w:t>Report §A9</w:t>
            </w:r>
          </w:p>
        </w:tc>
      </w:tr>
      <w:tr>
        <w:tc>
          <w:tcPr>
            <w:tcW w:type="dxa" w:w="3312"/>
          </w:tcPr>
          <w:p>
            <w:r>
              <w:rPr>
                <w:rFonts w:ascii="Calibri" w:hAnsi="Calibri"/>
                <w:b/>
                <w:sz w:val="18"/>
              </w:rPr>
              <w:t>A10 AI Usage Documentation</w:t>
            </w:r>
          </w:p>
        </w:tc>
        <w:tc>
          <w:tcPr>
            <w:tcW w:type="dxa" w:w="1152"/>
          </w:tcPr>
          <w:p>
            <w:r>
              <w:rPr>
                <w:rFonts w:ascii="Calibri" w:hAnsi="Calibri"/>
                <w:sz w:val="18"/>
              </w:rPr>
              <w:t>3</w:t>
            </w:r>
          </w:p>
        </w:tc>
        <w:tc>
          <w:tcPr>
            <w:tcW w:type="dxa" w:w="1296"/>
            <w:shd w:val="clear" w:color="auto" w:fill="D4EDDA"/>
          </w:tcPr>
          <w:p>
            <w:r>
              <w:rPr>
                <w:rFonts w:ascii="Calibri" w:hAnsi="Calibri"/>
                <w:sz w:val="18"/>
              </w:rPr>
              <w:t>✅ Met</w:t>
            </w:r>
          </w:p>
        </w:tc>
        <w:tc>
          <w:tcPr>
            <w:tcW w:type="dxa" w:w="3600"/>
          </w:tcPr>
          <w:p>
            <w:r>
              <w:rPr>
                <w:rFonts w:ascii="Calibri" w:hAnsi="Calibri"/>
                <w:sz w:val="18"/>
              </w:rPr>
              <w:t>Report §A10 (5 interactions)</w:t>
            </w:r>
          </w:p>
        </w:tc>
      </w:tr>
      <w:tr>
        <w:tc>
          <w:tcPr>
            <w:tcW w:type="dxa" w:w="3312"/>
          </w:tcPr>
          <w:p>
            <w:r>
              <w:rPr>
                <w:rFonts w:ascii="Calibri" w:hAnsi="Calibri"/>
                <w:b/>
                <w:sz w:val="18"/>
              </w:rPr>
              <w:t>A11 Report Quality &amp; Referencing</w:t>
            </w:r>
          </w:p>
        </w:tc>
        <w:tc>
          <w:tcPr>
            <w:tcW w:type="dxa" w:w="1152"/>
          </w:tcPr>
          <w:p>
            <w:r>
              <w:rPr>
                <w:rFonts w:ascii="Calibri" w:hAnsi="Calibri"/>
                <w:sz w:val="18"/>
              </w:rPr>
              <w:t>3</w:t>
            </w:r>
          </w:p>
        </w:tc>
        <w:tc>
          <w:tcPr>
            <w:tcW w:type="dxa" w:w="1296"/>
            <w:shd w:val="clear" w:color="auto" w:fill="D4EDDA"/>
          </w:tcPr>
          <w:p>
            <w:r>
              <w:rPr>
                <w:rFonts w:ascii="Calibri" w:hAnsi="Calibri"/>
                <w:sz w:val="18"/>
              </w:rPr>
              <w:t>✅ Met</w:t>
            </w:r>
          </w:p>
        </w:tc>
        <w:tc>
          <w:tcPr>
            <w:tcW w:type="dxa" w:w="3600"/>
          </w:tcPr>
          <w:p>
            <w:r>
              <w:rPr>
                <w:rFonts w:ascii="Calibri" w:hAnsi="Calibri"/>
                <w:sz w:val="18"/>
              </w:rPr>
              <w:t>Report §A11 + 3 diagram types</w:t>
            </w:r>
          </w:p>
        </w:tc>
      </w:tr>
      <w:tr>
        <w:tc>
          <w:tcPr>
            <w:tcW w:type="dxa" w:w="3312"/>
          </w:tcPr>
          <w:p>
            <w:r>
              <w:rPr>
                <w:rFonts w:ascii="Calibri" w:hAnsi="Calibri"/>
                <w:b/>
                <w:sz w:val="18"/>
              </w:rPr>
              <w:t>B1 Code Organisation &amp; README</w:t>
            </w:r>
          </w:p>
        </w:tc>
        <w:tc>
          <w:tcPr>
            <w:tcW w:type="dxa" w:w="1152"/>
          </w:tcPr>
          <w:p>
            <w:r>
              <w:rPr>
                <w:rFonts w:ascii="Calibri" w:hAnsi="Calibri"/>
                <w:sz w:val="18"/>
              </w:rPr>
              <w:t>3</w:t>
            </w:r>
          </w:p>
        </w:tc>
        <w:tc>
          <w:tcPr>
            <w:tcW w:type="dxa" w:w="1296"/>
            <w:shd w:val="clear" w:color="auto" w:fill="D4EDDA"/>
          </w:tcPr>
          <w:p>
            <w:r>
              <w:rPr>
                <w:rFonts w:ascii="Calibri" w:hAnsi="Calibri"/>
                <w:sz w:val="18"/>
              </w:rPr>
              <w:t>✅ Met</w:t>
            </w:r>
          </w:p>
        </w:tc>
        <w:tc>
          <w:tcPr>
            <w:tcW w:type="dxa" w:w="3600"/>
          </w:tcPr>
          <w:p>
            <w:r>
              <w:rPr>
                <w:rFonts w:ascii="Calibri" w:hAnsi="Calibri"/>
                <w:sz w:val="18"/>
              </w:rPr>
              <w:t>README.md, requirements.txt, folder structure</w:t>
            </w:r>
          </w:p>
        </w:tc>
      </w:tr>
      <w:tr>
        <w:tc>
          <w:tcPr>
            <w:tcW w:type="dxa" w:w="3312"/>
          </w:tcPr>
          <w:p>
            <w:r>
              <w:rPr>
                <w:rFonts w:ascii="Calibri" w:hAnsi="Calibri"/>
                <w:b/>
                <w:sz w:val="18"/>
              </w:rPr>
              <w:t>B2 Code Quality &amp; Documentation</w:t>
            </w:r>
          </w:p>
        </w:tc>
        <w:tc>
          <w:tcPr>
            <w:tcW w:type="dxa" w:w="1152"/>
          </w:tcPr>
          <w:p>
            <w:r>
              <w:rPr>
                <w:rFonts w:ascii="Calibri" w:hAnsi="Calibri"/>
                <w:sz w:val="18"/>
              </w:rPr>
              <w:t>4</w:t>
            </w:r>
          </w:p>
        </w:tc>
        <w:tc>
          <w:tcPr>
            <w:tcW w:type="dxa" w:w="1296"/>
            <w:shd w:val="clear" w:color="auto" w:fill="D4EDDA"/>
          </w:tcPr>
          <w:p>
            <w:r>
              <w:rPr>
                <w:rFonts w:ascii="Calibri" w:hAnsi="Calibri"/>
                <w:sz w:val="18"/>
              </w:rPr>
              <w:t>✅ Met</w:t>
            </w:r>
          </w:p>
        </w:tc>
        <w:tc>
          <w:tcPr>
            <w:tcW w:type="dxa" w:w="3600"/>
          </w:tcPr>
          <w:p>
            <w:r>
              <w:rPr>
                <w:rFonts w:ascii="Calibri" w:hAnsi="Calibri"/>
                <w:sz w:val="18"/>
              </w:rPr>
              <w:t>code/pipeline.py modular + docstrings</w:t>
            </w:r>
          </w:p>
        </w:tc>
      </w:tr>
      <w:tr>
        <w:tc>
          <w:tcPr>
            <w:tcW w:type="dxa" w:w="3312"/>
          </w:tcPr>
          <w:p>
            <w:r>
              <w:rPr>
                <w:rFonts w:ascii="Calibri" w:hAnsi="Calibri"/>
                <w:b/>
                <w:sz w:val="18"/>
              </w:rPr>
              <w:t>B3 Pipeline Completeness</w:t>
            </w:r>
          </w:p>
        </w:tc>
        <w:tc>
          <w:tcPr>
            <w:tcW w:type="dxa" w:w="1152"/>
          </w:tcPr>
          <w:p>
            <w:r>
              <w:rPr>
                <w:rFonts w:ascii="Calibri" w:hAnsi="Calibri"/>
                <w:sz w:val="18"/>
              </w:rPr>
              <w:t>4</w:t>
            </w:r>
          </w:p>
        </w:tc>
        <w:tc>
          <w:tcPr>
            <w:tcW w:type="dxa" w:w="1296"/>
            <w:shd w:val="clear" w:color="auto" w:fill="D4EDDA"/>
          </w:tcPr>
          <w:p>
            <w:r>
              <w:rPr>
                <w:rFonts w:ascii="Calibri" w:hAnsi="Calibri"/>
                <w:sz w:val="18"/>
              </w:rPr>
              <w:t>✅ Met</w:t>
            </w:r>
          </w:p>
        </w:tc>
        <w:tc>
          <w:tcPr>
            <w:tcW w:type="dxa" w:w="3600"/>
          </w:tcPr>
          <w:p>
            <w:r>
              <w:rPr>
                <w:rFonts w:ascii="Calibri" w:hAnsi="Calibri"/>
                <w:sz w:val="18"/>
              </w:rPr>
              <w:t>pipeline.py + notebook + sample data</w:t>
            </w:r>
          </w:p>
        </w:tc>
      </w:tr>
      <w:tr>
        <w:tc>
          <w:tcPr>
            <w:tcW w:type="dxa" w:w="3312"/>
          </w:tcPr>
          <w:p>
            <w:r>
              <w:rPr>
                <w:rFonts w:ascii="Calibri" w:hAnsi="Calibri"/>
                <w:b/>
                <w:sz w:val="18"/>
              </w:rPr>
              <w:t>B4 Error Handling &amp; Robustness</w:t>
            </w:r>
          </w:p>
        </w:tc>
        <w:tc>
          <w:tcPr>
            <w:tcW w:type="dxa" w:w="1152"/>
          </w:tcPr>
          <w:p>
            <w:r>
              <w:rPr>
                <w:rFonts w:ascii="Calibri" w:hAnsi="Calibri"/>
                <w:sz w:val="18"/>
              </w:rPr>
              <w:t>4</w:t>
            </w:r>
          </w:p>
        </w:tc>
        <w:tc>
          <w:tcPr>
            <w:tcW w:type="dxa" w:w="1296"/>
            <w:shd w:val="clear" w:color="auto" w:fill="D4EDDA"/>
          </w:tcPr>
          <w:p>
            <w:r>
              <w:rPr>
                <w:rFonts w:ascii="Calibri" w:hAnsi="Calibri"/>
                <w:sz w:val="18"/>
              </w:rPr>
              <w:t>✅ Met</w:t>
            </w:r>
          </w:p>
        </w:tc>
        <w:tc>
          <w:tcPr>
            <w:tcW w:type="dxa" w:w="3600"/>
          </w:tcPr>
          <w:p>
            <w:r>
              <w:rPr>
                <w:rFonts w:ascii="Calibri" w:hAnsi="Calibri"/>
                <w:sz w:val="18"/>
              </w:rPr>
              <w:t>pipeline.py try/except + retry logic</w:t>
            </w:r>
          </w:p>
        </w:tc>
      </w:tr>
    </w:tbl>
    <w:p>
      <w:r>
        <w:br w:type="page"/>
      </w:r>
    </w:p>
    <w:p>
      <w:pPr>
        <w:pStyle w:val="Heading1"/>
      </w:pPr>
      <w:r>
        <w:rPr>
          <w:rFonts w:ascii="Calibri" w:hAnsi="Calibri"/>
          <w:color w:val="1F3A5F"/>
        </w:rPr>
        <w:t>Detailed line-by-line cross-check</w:t>
      </w:r>
    </w:p>
    <w:p>
      <w:pPr>
        <w:pStyle w:val="Heading2"/>
      </w:pPr>
      <w:r>
        <w:rPr>
          <w:rFonts w:ascii="Calibri" w:hAnsi="Calibri"/>
          <w:color w:val="1F3A5F"/>
        </w:rPr>
        <w:t>Section A — Architecture Report (65% of grade)</w:t>
      </w:r>
    </w:p>
    <w:p>
      <w:pPr>
        <w:pStyle w:val="Heading3"/>
      </w:pPr>
      <w:r>
        <w:rPr>
          <w:rFonts w:ascii="Calibri" w:hAnsi="Calibri"/>
          <w:color w:val="1F3A5F"/>
        </w:rPr>
        <w:t>A1 — Domain and Problem Framing (Weight: 3)</w:t>
      </w:r>
    </w:p>
    <w:tbl>
      <w:tblPr>
        <w:tblStyle w:val="LightGrid-Accent1"/>
        <w:tblW w:type="auto" w:w="0"/>
        <w:tblLook w:firstColumn="1" w:firstRow="1" w:lastColumn="0" w:lastRow="0" w:noHBand="0" w:noVBand="1" w:val="04A0"/>
      </w:tblPr>
      <w:tblGrid>
        <w:gridCol w:w="3324"/>
        <w:gridCol w:w="3324"/>
        <w:gridCol w:w="3324"/>
      </w:tblGrid>
      <w:tr>
        <w:tc>
          <w:tcPr>
            <w:tcW w:type="dxa" w:w="4608"/>
            <w:shd w:val="clear" w:color="auto" w:fill="1F3A5F"/>
          </w:tcPr>
          <w:p>
            <w:r>
              <w:rPr>
                <w:rFonts w:ascii="Calibri" w:hAnsi="Calibri"/>
                <w:b/>
                <w:color w:val="FFFFFF"/>
                <w:sz w:val="20"/>
              </w:rPr>
              <w:t>Rubric requirement</w:t>
            </w:r>
          </w:p>
        </w:tc>
        <w:tc>
          <w:tcPr>
            <w:tcW w:type="dxa" w:w="1296"/>
            <w:shd w:val="clear" w:color="auto" w:fill="1F3A5F"/>
          </w:tcPr>
          <w:p>
            <w:r>
              <w:rPr>
                <w:rFonts w:ascii="Calibri" w:hAnsi="Calibri"/>
                <w:b/>
                <w:color w:val="FFFFFF"/>
                <w:sz w:val="20"/>
              </w:rPr>
              <w:t>Status</w:t>
            </w:r>
          </w:p>
        </w:tc>
        <w:tc>
          <w:tcPr>
            <w:tcW w:type="dxa" w:w="3456"/>
            <w:shd w:val="clear" w:color="auto" w:fill="1F3A5F"/>
          </w:tcPr>
          <w:p>
            <w:r>
              <w:rPr>
                <w:rFonts w:ascii="Calibri" w:hAnsi="Calibri"/>
                <w:b/>
                <w:color w:val="FFFFFF"/>
                <w:sz w:val="20"/>
              </w:rPr>
              <w:t>Location in deliverables</w:t>
            </w:r>
          </w:p>
        </w:tc>
      </w:tr>
      <w:tr>
        <w:tc>
          <w:tcPr>
            <w:tcW w:type="dxa" w:w="4608"/>
          </w:tcPr>
          <w:p>
            <w:r>
              <w:rPr>
                <w:rFonts w:ascii="Calibri" w:hAnsi="Calibri"/>
                <w:sz w:val="18"/>
              </w:rPr>
              <w:t>Clear business problem with measurable impact, not merely a technical exercise</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§A1 'Business problem' + §A1 'Business-case framing'; Executive Summary 'Why this matters' with FAA delay-cost framing</w:t>
            </w:r>
          </w:p>
        </w:tc>
      </w:tr>
      <w:tr>
        <w:tc>
          <w:tcPr>
            <w:tcW w:type="dxa" w:w="4608"/>
          </w:tcPr>
          <w:p>
            <w:r>
              <w:rPr>
                <w:rFonts w:ascii="Calibri" w:hAnsi="Calibri"/>
                <w:sz w:val="18"/>
              </w:rPr>
              <w:t>At least three distinct data sources identified and motivated</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§A1 'Why three distinct data sources' — BTS, OpenFlights, AviationStack each with explicit purpose</w:t>
            </w:r>
          </w:p>
        </w:tc>
      </w:tr>
      <w:tr>
        <w:tc>
          <w:tcPr>
            <w:tcW w:type="dxa" w:w="4608"/>
          </w:tcPr>
          <w:p>
            <w:r>
              <w:rPr>
                <w:rFonts w:ascii="Calibri" w:hAnsi="Calibri"/>
                <w:sz w:val="18"/>
              </w:rPr>
              <w:t>Analytical objectives are specific and measurable: KPIs or concrete questions</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§A1 'Analytical objectives' — 5 numbered KPIs (KPI-1 through KPI-5)</w:t>
            </w:r>
          </w:p>
        </w:tc>
      </w:tr>
    </w:tbl>
    <w:p>
      <w:pPr>
        <w:pStyle w:val="Heading3"/>
      </w:pPr>
      <w:r>
        <w:rPr>
          <w:rFonts w:ascii="Calibri" w:hAnsi="Calibri"/>
          <w:color w:val="1F3A5F"/>
        </w:rPr>
        <w:t>A2 — Data Source Appraisal (Weight: 4)</w:t>
      </w:r>
    </w:p>
    <w:tbl>
      <w:tblPr>
        <w:tblStyle w:val="LightGrid-Accent1"/>
        <w:tblW w:type="auto" w:w="0"/>
        <w:tblLook w:firstColumn="1" w:firstRow="1" w:lastColumn="0" w:lastRow="0" w:noHBand="0" w:noVBand="1" w:val="04A0"/>
      </w:tblPr>
      <w:tblGrid>
        <w:gridCol w:w="3324"/>
        <w:gridCol w:w="3324"/>
        <w:gridCol w:w="3324"/>
      </w:tblGrid>
      <w:tr>
        <w:tc>
          <w:tcPr>
            <w:tcW w:type="dxa" w:w="4608"/>
            <w:shd w:val="clear" w:color="auto" w:fill="1F3A5F"/>
          </w:tcPr>
          <w:p>
            <w:r>
              <w:rPr>
                <w:rFonts w:ascii="Calibri" w:hAnsi="Calibri"/>
                <w:b/>
                <w:color w:val="FFFFFF"/>
                <w:sz w:val="20"/>
              </w:rPr>
              <w:t>Rubric requirement</w:t>
            </w:r>
          </w:p>
        </w:tc>
        <w:tc>
          <w:tcPr>
            <w:tcW w:type="dxa" w:w="1296"/>
            <w:shd w:val="clear" w:color="auto" w:fill="1F3A5F"/>
          </w:tcPr>
          <w:p>
            <w:r>
              <w:rPr>
                <w:rFonts w:ascii="Calibri" w:hAnsi="Calibri"/>
                <w:b/>
                <w:color w:val="FFFFFF"/>
                <w:sz w:val="20"/>
              </w:rPr>
              <w:t>Status</w:t>
            </w:r>
          </w:p>
        </w:tc>
        <w:tc>
          <w:tcPr>
            <w:tcW w:type="dxa" w:w="3456"/>
            <w:shd w:val="clear" w:color="auto" w:fill="1F3A5F"/>
          </w:tcPr>
          <w:p>
            <w:r>
              <w:rPr>
                <w:rFonts w:ascii="Calibri" w:hAnsi="Calibri"/>
                <w:b/>
                <w:color w:val="FFFFFF"/>
                <w:sz w:val="20"/>
              </w:rPr>
              <w:t>Location in deliverables</w:t>
            </w:r>
          </w:p>
        </w:tc>
      </w:tr>
      <w:tr>
        <w:tc>
          <w:tcPr>
            <w:tcW w:type="dxa" w:w="4608"/>
          </w:tcPr>
          <w:p>
            <w:r>
              <w:rPr>
                <w:rFonts w:ascii="Calibri" w:hAnsi="Calibri"/>
                <w:sz w:val="18"/>
              </w:rPr>
              <w:t>Every source assessed across all five dimensions</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§A2 — each of 3 sources has a 5-row table covering Source/Collection, Structure/Format, Volume/Velocity, Quality, Risks/Limitations</w:t>
            </w:r>
          </w:p>
        </w:tc>
      </w:tr>
      <w:tr>
        <w:tc>
          <w:tcPr>
            <w:tcW w:type="dxa" w:w="4608"/>
          </w:tcPr>
          <w:p>
            <w:r>
              <w:rPr>
                <w:rFonts w:ascii="Calibri" w:hAnsi="Calibri"/>
                <w:sz w:val="18"/>
              </w:rPr>
              <w:t>Evidence-backed quality statistics: completeness %, null rates, duplicate counts</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§A2 — null rates quoted per source (0% BTS post-dropna, 0% OpenFlights IATA post-filter, 90–95% API delay null); duplicate counts addressed in each</w:t>
            </w:r>
          </w:p>
        </w:tc>
      </w:tr>
      <w:tr>
        <w:tc>
          <w:tcPr>
            <w:tcW w:type="dxa" w:w="4608"/>
          </w:tcPr>
          <w:p>
            <w:r>
              <w:rPr>
                <w:rFonts w:ascii="Calibri" w:hAnsi="Calibri"/>
                <w:sz w:val="18"/>
              </w:rPr>
              <w:t>Bias, ethical risks, legal/privacy concerns acknowledged per source</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§A2 'Risks &amp; Limitations' row in each source table (geographic bias, PII, API-key exposure, schema drift)</w:t>
            </w:r>
          </w:p>
        </w:tc>
      </w:tr>
    </w:tbl>
    <w:p>
      <w:pPr>
        <w:pStyle w:val="Heading3"/>
      </w:pPr>
      <w:r>
        <w:rPr>
          <w:rFonts w:ascii="Calibri" w:hAnsi="Calibri"/>
          <w:color w:val="1F3A5F"/>
        </w:rPr>
        <w:t>A3 — Ingestion Pipeline Design (Weight: 4)</w:t>
      </w:r>
    </w:p>
    <w:tbl>
      <w:tblPr>
        <w:tblStyle w:val="LightGrid-Accent1"/>
        <w:tblW w:type="auto" w:w="0"/>
        <w:tblLook w:firstColumn="1" w:firstRow="1" w:lastColumn="0" w:lastRow="0" w:noHBand="0" w:noVBand="1" w:val="04A0"/>
      </w:tblPr>
      <w:tblGrid>
        <w:gridCol w:w="3324"/>
        <w:gridCol w:w="3324"/>
        <w:gridCol w:w="3324"/>
      </w:tblGrid>
      <w:tr>
        <w:tc>
          <w:tcPr>
            <w:tcW w:type="dxa" w:w="4608"/>
            <w:shd w:val="clear" w:color="auto" w:fill="1F3A5F"/>
          </w:tcPr>
          <w:p>
            <w:r>
              <w:rPr>
                <w:rFonts w:ascii="Calibri" w:hAnsi="Calibri"/>
                <w:b/>
                <w:color w:val="FFFFFF"/>
                <w:sz w:val="20"/>
              </w:rPr>
              <w:t>Rubric requirement</w:t>
            </w:r>
          </w:p>
        </w:tc>
        <w:tc>
          <w:tcPr>
            <w:tcW w:type="dxa" w:w="1296"/>
            <w:shd w:val="clear" w:color="auto" w:fill="1F3A5F"/>
          </w:tcPr>
          <w:p>
            <w:r>
              <w:rPr>
                <w:rFonts w:ascii="Calibri" w:hAnsi="Calibri"/>
                <w:b/>
                <w:color w:val="FFFFFF"/>
                <w:sz w:val="20"/>
              </w:rPr>
              <w:t>Status</w:t>
            </w:r>
          </w:p>
        </w:tc>
        <w:tc>
          <w:tcPr>
            <w:tcW w:type="dxa" w:w="3456"/>
            <w:shd w:val="clear" w:color="auto" w:fill="1F3A5F"/>
          </w:tcPr>
          <w:p>
            <w:r>
              <w:rPr>
                <w:rFonts w:ascii="Calibri" w:hAnsi="Calibri"/>
                <w:b/>
                <w:color w:val="FFFFFF"/>
                <w:sz w:val="20"/>
              </w:rPr>
              <w:t>Location in deliverables</w:t>
            </w:r>
          </w:p>
        </w:tc>
      </w:tr>
      <w:tr>
        <w:tc>
          <w:tcPr>
            <w:tcW w:type="dxa" w:w="4608"/>
          </w:tcPr>
          <w:p>
            <w:r>
              <w:rPr>
                <w:rFonts w:ascii="Calibri" w:hAnsi="Calibri"/>
                <w:sz w:val="18"/>
              </w:rPr>
              <w:t>Batch vs. streaming explicitly justified with documented reasoning</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§A3 'Batch versus streaming decision'</w:t>
            </w:r>
          </w:p>
        </w:tc>
      </w:tr>
      <w:tr>
        <w:tc>
          <w:tcPr>
            <w:tcW w:type="dxa" w:w="4608"/>
          </w:tcPr>
          <w:p>
            <w:r>
              <w:rPr>
                <w:rFonts w:ascii="Calibri" w:hAnsi="Calibri"/>
                <w:sz w:val="18"/>
              </w:rPr>
              <w:t>At least two rejected alternatives with specific, not generic, rejection reasons</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§A3 'Rejected alternatives' — Kafka+Spark and Airflow both rejected with engagement-specific rationale</w:t>
            </w:r>
          </w:p>
        </w:tc>
      </w:tr>
      <w:tr>
        <w:tc>
          <w:tcPr>
            <w:tcW w:type="dxa" w:w="4608"/>
          </w:tcPr>
          <w:p>
            <w:r>
              <w:rPr>
                <w:rFonts w:ascii="Calibri" w:hAnsi="Calibri"/>
                <w:sz w:val="18"/>
              </w:rPr>
              <w:t>Error handling and retry logic described for the ingestion layer</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§A3 'Error handling and retry logic' (5 bullets) + code/pipeline.py ingest functions with try/except, retry, timeout</w:t>
            </w:r>
          </w:p>
        </w:tc>
      </w:tr>
      <w:tr>
        <w:tc>
          <w:tcPr>
            <w:tcW w:type="dxa" w:w="4608"/>
          </w:tcPr>
          <w:p>
            <w:r>
              <w:rPr>
                <w:rFonts w:ascii="Calibri" w:hAnsi="Calibri"/>
                <w:sz w:val="18"/>
              </w:rPr>
              <w:t>Technology selection justified for specific use case, not merely named</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§A3 'Technology decision matrix' — 7-criterion scored table; 'Technology selection justified' narrative</w:t>
            </w:r>
          </w:p>
        </w:tc>
      </w:tr>
    </w:tbl>
    <w:p>
      <w:pPr>
        <w:pStyle w:val="Heading3"/>
      </w:pPr>
      <w:r>
        <w:rPr>
          <w:rFonts w:ascii="Calibri" w:hAnsi="Calibri"/>
          <w:color w:val="1F3A5F"/>
        </w:rPr>
        <w:t>A4 — Storage Architecture Design (Weight: 6 — HIGH PRIORITY)</w:t>
      </w:r>
    </w:p>
    <w:tbl>
      <w:tblPr>
        <w:tblStyle w:val="LightGrid-Accent1"/>
        <w:tblW w:type="auto" w:w="0"/>
        <w:tblLook w:firstColumn="1" w:firstRow="1" w:lastColumn="0" w:lastRow="0" w:noHBand="0" w:noVBand="1" w:val="04A0"/>
      </w:tblPr>
      <w:tblGrid>
        <w:gridCol w:w="3324"/>
        <w:gridCol w:w="3324"/>
        <w:gridCol w:w="3324"/>
      </w:tblGrid>
      <w:tr>
        <w:tc>
          <w:tcPr>
            <w:tcW w:type="dxa" w:w="4608"/>
            <w:shd w:val="clear" w:color="auto" w:fill="1F3A5F"/>
          </w:tcPr>
          <w:p>
            <w:r>
              <w:rPr>
                <w:rFonts w:ascii="Calibri" w:hAnsi="Calibri"/>
                <w:b/>
                <w:color w:val="FFFFFF"/>
                <w:sz w:val="20"/>
              </w:rPr>
              <w:t>Rubric requirement</w:t>
            </w:r>
          </w:p>
        </w:tc>
        <w:tc>
          <w:tcPr>
            <w:tcW w:type="dxa" w:w="1296"/>
            <w:shd w:val="clear" w:color="auto" w:fill="1F3A5F"/>
          </w:tcPr>
          <w:p>
            <w:r>
              <w:rPr>
                <w:rFonts w:ascii="Calibri" w:hAnsi="Calibri"/>
                <w:b/>
                <w:color w:val="FFFFFF"/>
                <w:sz w:val="20"/>
              </w:rPr>
              <w:t>Status</w:t>
            </w:r>
          </w:p>
        </w:tc>
        <w:tc>
          <w:tcPr>
            <w:tcW w:type="dxa" w:w="3456"/>
            <w:shd w:val="clear" w:color="auto" w:fill="1F3A5F"/>
          </w:tcPr>
          <w:p>
            <w:r>
              <w:rPr>
                <w:rFonts w:ascii="Calibri" w:hAnsi="Calibri"/>
                <w:b/>
                <w:color w:val="FFFFFF"/>
                <w:sz w:val="20"/>
              </w:rPr>
              <w:t>Location in deliverables</w:t>
            </w:r>
          </w:p>
        </w:tc>
      </w:tr>
      <w:tr>
        <w:tc>
          <w:tcPr>
            <w:tcW w:type="dxa" w:w="4608"/>
          </w:tcPr>
          <w:p>
            <w:r>
              <w:rPr>
                <w:rFonts w:ascii="Calibri" w:hAnsi="Calibri"/>
                <w:sz w:val="18"/>
              </w:rPr>
              <w:t>Schema / document / graph design diagram present and clearly labelled</w:t>
            </w:r>
          </w:p>
        </w:tc>
        <w:tc>
          <w:tcPr>
            <w:tcW w:type="dxa" w:w="1296"/>
            <w:shd w:val="clear" w:color="auto" w:fill="D4EDDA"/>
          </w:tcPr>
          <w:p>
            <w:r>
              <w:rPr>
                <w:rFonts w:ascii="Calibri" w:hAnsi="Calibri"/>
                <w:b/>
                <w:sz w:val="18"/>
              </w:rPr>
              <w:t>✅ Met</w:t>
            </w:r>
          </w:p>
        </w:tc>
        <w:tc>
          <w:tcPr>
            <w:tcW w:type="dxa" w:w="3456"/>
          </w:tcPr>
          <w:p>
            <w:r>
              <w:rPr>
                <w:rFonts w:ascii="Calibri" w:hAnsi="Calibri"/>
                <w:sz w:val="18"/>
              </w:rPr>
              <w:t>Appendix A Architecture diagram (pipeline flow) + §A4 ER/Schema diagram showing source tables, join keys, merged dataset structure</w:t>
            </w:r>
          </w:p>
        </w:tc>
      </w:tr>
      <w:tr>
        <w:tc>
          <w:tcPr>
            <w:tcW w:type="dxa" w:w="4608"/>
          </w:tcPr>
          <w:p>
            <w:r>
              <w:rPr>
                <w:rFonts w:ascii="Calibri" w:hAnsi="Calibri"/>
                <w:sz w:val="18"/>
              </w:rPr>
              <w:t>Storage technology justified with at least two alternatives and specific rejection reasons</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§A4 'Storage technology decision matrix' (5 candidates, 7 criteria) + 'Alternatives considered' narrative</w:t>
            </w:r>
          </w:p>
        </w:tc>
      </w:tr>
      <w:tr>
        <w:tc>
          <w:tcPr>
            <w:tcW w:type="dxa" w:w="4608"/>
          </w:tcPr>
          <w:p>
            <w:r>
              <w:rPr>
                <w:rFonts w:ascii="Calibri" w:hAnsi="Calibri"/>
                <w:sz w:val="18"/>
              </w:rPr>
              <w:t>Indexing and partitioning strategy explained</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§A4 'Indexing and partitioning strategy' — current (pandas column selection + pre-filter), Phase 2 (PostgreSQL composite index on airport/year/month), Phase 3 (Parquet partitioning)</w:t>
            </w:r>
          </w:p>
        </w:tc>
      </w:tr>
    </w:tbl>
    <w:p>
      <w:pPr>
        <w:pStyle w:val="Heading3"/>
      </w:pPr>
      <w:r>
        <w:rPr>
          <w:rFonts w:ascii="Calibri" w:hAnsi="Calibri"/>
          <w:color w:val="1F3A5F"/>
        </w:rPr>
        <w:t>A5 — Data Cleaning and Transformation (Weight: 5)</w:t>
      </w:r>
    </w:p>
    <w:tbl>
      <w:tblPr>
        <w:tblStyle w:val="LightGrid-Accent1"/>
        <w:tblW w:type="auto" w:w="0"/>
        <w:tblLook w:firstColumn="1" w:firstRow="1" w:lastColumn="0" w:lastRow="0" w:noHBand="0" w:noVBand="1" w:val="04A0"/>
      </w:tblPr>
      <w:tblGrid>
        <w:gridCol w:w="3324"/>
        <w:gridCol w:w="3324"/>
        <w:gridCol w:w="3324"/>
      </w:tblGrid>
      <w:tr>
        <w:tc>
          <w:tcPr>
            <w:tcW w:type="dxa" w:w="4608"/>
            <w:shd w:val="clear" w:color="auto" w:fill="1F3A5F"/>
          </w:tcPr>
          <w:p>
            <w:r>
              <w:rPr>
                <w:rFonts w:ascii="Calibri" w:hAnsi="Calibri"/>
                <w:b/>
                <w:color w:val="FFFFFF"/>
                <w:sz w:val="20"/>
              </w:rPr>
              <w:t>Rubric requirement</w:t>
            </w:r>
          </w:p>
        </w:tc>
        <w:tc>
          <w:tcPr>
            <w:tcW w:type="dxa" w:w="1296"/>
            <w:shd w:val="clear" w:color="auto" w:fill="1F3A5F"/>
          </w:tcPr>
          <w:p>
            <w:r>
              <w:rPr>
                <w:rFonts w:ascii="Calibri" w:hAnsi="Calibri"/>
                <w:b/>
                <w:color w:val="FFFFFF"/>
                <w:sz w:val="20"/>
              </w:rPr>
              <w:t>Status</w:t>
            </w:r>
          </w:p>
        </w:tc>
        <w:tc>
          <w:tcPr>
            <w:tcW w:type="dxa" w:w="3456"/>
            <w:shd w:val="clear" w:color="auto" w:fill="1F3A5F"/>
          </w:tcPr>
          <w:p>
            <w:r>
              <w:rPr>
                <w:rFonts w:ascii="Calibri" w:hAnsi="Calibri"/>
                <w:b/>
                <w:color w:val="FFFFFF"/>
                <w:sz w:val="20"/>
              </w:rPr>
              <w:t>Location in deliverables</w:t>
            </w:r>
          </w:p>
        </w:tc>
      </w:tr>
      <w:tr>
        <w:tc>
          <w:tcPr>
            <w:tcW w:type="dxa" w:w="4608"/>
          </w:tcPr>
          <w:p>
            <w:r>
              <w:rPr>
                <w:rFonts w:ascii="Calibri" w:hAnsi="Calibri"/>
                <w:sz w:val="18"/>
              </w:rPr>
              <w:t>Missing-value strategy justified per column (delete / impute / flag), not uniform</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§A5 'Missing-value strategy (column-specific)' — separate rationale for core metrics, API delay, location fields; deletion-vs-imputation reasoning given</w:t>
            </w:r>
          </w:p>
        </w:tc>
      </w:tr>
      <w:tr>
        <w:tc>
          <w:tcPr>
            <w:tcW w:type="dxa" w:w="4608"/>
          </w:tcPr>
          <w:p>
            <w:r>
              <w:rPr>
                <w:rFonts w:ascii="Calibri" w:hAnsi="Calibri"/>
                <w:sz w:val="18"/>
              </w:rPr>
              <w:t>Deduplication logic documented: key columns, method, edge cases</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§A5 'Deduplication strategy' — primary key (airport+year+month), method, edge-case handling via aggregation</w:t>
            </w:r>
          </w:p>
        </w:tc>
      </w:tr>
      <w:tr>
        <w:tc>
          <w:tcPr>
            <w:tcW w:type="dxa" w:w="4608"/>
          </w:tcPr>
          <w:p>
            <w:r>
              <w:rPr>
                <w:rFonts w:ascii="Calibri" w:hAnsi="Calibri"/>
                <w:sz w:val="18"/>
              </w:rPr>
              <w:t>Before/after quality report included showing measurable improvement</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§A5 'Before versus after data quality' — 4-row comparison table</w:t>
            </w:r>
          </w:p>
        </w:tc>
      </w:tr>
      <w:tr>
        <w:tc>
          <w:tcPr>
            <w:tcW w:type="dxa" w:w="4608"/>
          </w:tcPr>
          <w:p>
            <w:r>
              <w:rPr>
                <w:rFonts w:ascii="Calibri" w:hAnsi="Calibri"/>
                <w:sz w:val="18"/>
              </w:rPr>
              <w:t>Format standardisation (dates, currencies, encodings, units) explained</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§A5 'Format standardisation' — date construction, IATA standardisation, type enforcement</w:t>
            </w:r>
          </w:p>
        </w:tc>
      </w:tr>
    </w:tbl>
    <w:p>
      <w:pPr>
        <w:pStyle w:val="Heading3"/>
      </w:pPr>
      <w:r>
        <w:rPr>
          <w:rFonts w:ascii="Calibri" w:hAnsi="Calibri"/>
          <w:color w:val="1F3A5F"/>
        </w:rPr>
        <w:t>A6 — Processing Paradigm (Weight: 4)</w:t>
      </w:r>
    </w:p>
    <w:tbl>
      <w:tblPr>
        <w:tblStyle w:val="LightGrid-Accent1"/>
        <w:tblW w:type="auto" w:w="0"/>
        <w:tblLook w:firstColumn="1" w:firstRow="1" w:lastColumn="0" w:lastRow="0" w:noHBand="0" w:noVBand="1" w:val="04A0"/>
      </w:tblPr>
      <w:tblGrid>
        <w:gridCol w:w="3324"/>
        <w:gridCol w:w="3324"/>
        <w:gridCol w:w="3324"/>
      </w:tblGrid>
      <w:tr>
        <w:tc>
          <w:tcPr>
            <w:tcW w:type="dxa" w:w="4608"/>
            <w:shd w:val="clear" w:color="auto" w:fill="1F3A5F"/>
          </w:tcPr>
          <w:p>
            <w:r>
              <w:rPr>
                <w:rFonts w:ascii="Calibri" w:hAnsi="Calibri"/>
                <w:b/>
                <w:color w:val="FFFFFF"/>
                <w:sz w:val="20"/>
              </w:rPr>
              <w:t>Rubric requirement</w:t>
            </w:r>
          </w:p>
        </w:tc>
        <w:tc>
          <w:tcPr>
            <w:tcW w:type="dxa" w:w="1296"/>
            <w:shd w:val="clear" w:color="auto" w:fill="1F3A5F"/>
          </w:tcPr>
          <w:p>
            <w:r>
              <w:rPr>
                <w:rFonts w:ascii="Calibri" w:hAnsi="Calibri"/>
                <w:b/>
                <w:color w:val="FFFFFF"/>
                <w:sz w:val="20"/>
              </w:rPr>
              <w:t>Status</w:t>
            </w:r>
          </w:p>
        </w:tc>
        <w:tc>
          <w:tcPr>
            <w:tcW w:type="dxa" w:w="3456"/>
            <w:shd w:val="clear" w:color="auto" w:fill="1F3A5F"/>
          </w:tcPr>
          <w:p>
            <w:r>
              <w:rPr>
                <w:rFonts w:ascii="Calibri" w:hAnsi="Calibri"/>
                <w:b/>
                <w:color w:val="FFFFFF"/>
                <w:sz w:val="20"/>
              </w:rPr>
              <w:t>Location in deliverables</w:t>
            </w:r>
          </w:p>
        </w:tc>
      </w:tr>
      <w:tr>
        <w:tc>
          <w:tcPr>
            <w:tcW w:type="dxa" w:w="4608"/>
          </w:tcPr>
          <w:p>
            <w:r>
              <w:rPr>
                <w:rFonts w:ascii="Calibri" w:hAnsi="Calibri"/>
                <w:sz w:val="18"/>
              </w:rPr>
              <w:t>Local vs. distributed processing justified with reference to actual data volume</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§A6 'Choice of local processing' — references moderate dataset size fitting in memory</w:t>
            </w:r>
          </w:p>
        </w:tc>
      </w:tr>
      <w:tr>
        <w:tc>
          <w:tcPr>
            <w:tcW w:type="dxa" w:w="4608"/>
          </w:tcPr>
          <w:p>
            <w:r>
              <w:rPr>
                <w:rFonts w:ascii="Calibri" w:hAnsi="Calibri"/>
                <w:sz w:val="18"/>
              </w:rPr>
              <w:t>At least two alternatives with rejection rationale</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§A6 'Alternatives considered' — Spark and ETL tooling (Airflow/dbt) both rejected with rationale</w:t>
            </w:r>
          </w:p>
        </w:tc>
      </w:tr>
      <w:tr>
        <w:tc>
          <w:tcPr>
            <w:tcW w:type="dxa" w:w="4608"/>
          </w:tcPr>
          <w:p>
            <w:r>
              <w:rPr>
                <w:rFonts w:ascii="Calibri" w:hAnsi="Calibri"/>
                <w:sz w:val="18"/>
              </w:rPr>
              <w:t>EDA visualisations interpreted with insight, not merely displayed</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§A6 'EDA and insight interpretation' — flight-volume + delay-type interpretations drive to A8 recommendations</w:t>
            </w:r>
          </w:p>
        </w:tc>
      </w:tr>
    </w:tbl>
    <w:p>
      <w:pPr>
        <w:pStyle w:val="Heading3"/>
      </w:pPr>
      <w:r>
        <w:rPr>
          <w:rFonts w:ascii="Calibri" w:hAnsi="Calibri"/>
          <w:color w:val="1F3A5F"/>
        </w:rPr>
        <w:t>A7 — Analytical Queries (Weight: 5)</w:t>
      </w:r>
    </w:p>
    <w:tbl>
      <w:tblPr>
        <w:tblStyle w:val="LightGrid-Accent1"/>
        <w:tblW w:type="auto" w:w="0"/>
        <w:tblLook w:firstColumn="1" w:firstRow="1" w:lastColumn="0" w:lastRow="0" w:noHBand="0" w:noVBand="1" w:val="04A0"/>
      </w:tblPr>
      <w:tblGrid>
        <w:gridCol w:w="3324"/>
        <w:gridCol w:w="3324"/>
        <w:gridCol w:w="3324"/>
      </w:tblGrid>
      <w:tr>
        <w:tc>
          <w:tcPr>
            <w:tcW w:type="dxa" w:w="4608"/>
            <w:shd w:val="clear" w:color="auto" w:fill="1F3A5F"/>
          </w:tcPr>
          <w:p>
            <w:r>
              <w:rPr>
                <w:rFonts w:ascii="Calibri" w:hAnsi="Calibri"/>
                <w:b/>
                <w:color w:val="FFFFFF"/>
                <w:sz w:val="20"/>
              </w:rPr>
              <w:t>Rubric requirement</w:t>
            </w:r>
          </w:p>
        </w:tc>
        <w:tc>
          <w:tcPr>
            <w:tcW w:type="dxa" w:w="1296"/>
            <w:shd w:val="clear" w:color="auto" w:fill="1F3A5F"/>
          </w:tcPr>
          <w:p>
            <w:r>
              <w:rPr>
                <w:rFonts w:ascii="Calibri" w:hAnsi="Calibri"/>
                <w:b/>
                <w:color w:val="FFFFFF"/>
                <w:sz w:val="20"/>
              </w:rPr>
              <w:t>Status</w:t>
            </w:r>
          </w:p>
        </w:tc>
        <w:tc>
          <w:tcPr>
            <w:tcW w:type="dxa" w:w="3456"/>
            <w:shd w:val="clear" w:color="auto" w:fill="1F3A5F"/>
          </w:tcPr>
          <w:p>
            <w:r>
              <w:rPr>
                <w:rFonts w:ascii="Calibri" w:hAnsi="Calibri"/>
                <w:b/>
                <w:color w:val="FFFFFF"/>
                <w:sz w:val="20"/>
              </w:rPr>
              <w:t>Location in deliverables</w:t>
            </w:r>
          </w:p>
        </w:tc>
      </w:tr>
      <w:tr>
        <w:tc>
          <w:tcPr>
            <w:tcW w:type="dxa" w:w="4608"/>
          </w:tcPr>
          <w:p>
            <w:r>
              <w:rPr>
                <w:rFonts w:ascii="Calibri" w:hAnsi="Calibri"/>
                <w:sz w:val="18"/>
              </w:rPr>
              <w:t>At least five queries of increasing complexity: filter, aggregation, join, and window or graph</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§A7 — Q1 filter, Q2 aggregation, Q3 join+agg, Q4 window (rolling), Q5 multi-dim pivot. Implemented in code/pipeline.py</w:t>
            </w:r>
          </w:p>
        </w:tc>
      </w:tr>
      <w:tr>
        <w:tc>
          <w:tcPr>
            <w:tcW w:type="dxa" w:w="4608"/>
          </w:tcPr>
          <w:p>
            <w:r>
              <w:rPr>
                <w:rFonts w:ascii="Calibri" w:hAnsi="Calibri"/>
                <w:sz w:val="18"/>
              </w:rPr>
              <w:t>Every query result interpreted in business context</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§A7 — each query has Business question, Operation, Interpretation, and Client implication callout</w:t>
            </w:r>
          </w:p>
        </w:tc>
      </w:tr>
      <w:tr>
        <w:tc>
          <w:tcPr>
            <w:tcW w:type="dxa" w:w="4608"/>
          </w:tcPr>
          <w:p>
            <w:r>
              <w:rPr>
                <w:rFonts w:ascii="Calibri" w:hAnsi="Calibri"/>
                <w:sz w:val="18"/>
              </w:rPr>
              <w:t>Query performance addressed: indexing, query plans, or optimisation noted</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§A7 'Query performance' — column projection, predicate pushdown, key-based merges; Phase 2/3 indexing path specified</w:t>
            </w:r>
          </w:p>
        </w:tc>
      </w:tr>
    </w:tbl>
    <w:p>
      <w:pPr>
        <w:pStyle w:val="Heading3"/>
      </w:pPr>
      <w:r>
        <w:rPr>
          <w:rFonts w:ascii="Calibri" w:hAnsi="Calibri"/>
          <w:color w:val="1F3A5F"/>
        </w:rPr>
        <w:t>A8 — Visualisation and Reporting (Weight: 4)</w:t>
      </w:r>
    </w:p>
    <w:tbl>
      <w:tblPr>
        <w:tblStyle w:val="LightGrid-Accent1"/>
        <w:tblW w:type="auto" w:w="0"/>
        <w:tblLook w:firstColumn="1" w:firstRow="1" w:lastColumn="0" w:lastRow="0" w:noHBand="0" w:noVBand="1" w:val="04A0"/>
      </w:tblPr>
      <w:tblGrid>
        <w:gridCol w:w="3324"/>
        <w:gridCol w:w="3324"/>
        <w:gridCol w:w="3324"/>
      </w:tblGrid>
      <w:tr>
        <w:tc>
          <w:tcPr>
            <w:tcW w:type="dxa" w:w="4608"/>
            <w:shd w:val="clear" w:color="auto" w:fill="1F3A5F"/>
          </w:tcPr>
          <w:p>
            <w:r>
              <w:rPr>
                <w:rFonts w:ascii="Calibri" w:hAnsi="Calibri"/>
                <w:b/>
                <w:color w:val="FFFFFF"/>
                <w:sz w:val="20"/>
              </w:rPr>
              <w:t>Rubric requirement</w:t>
            </w:r>
          </w:p>
        </w:tc>
        <w:tc>
          <w:tcPr>
            <w:tcW w:type="dxa" w:w="1296"/>
            <w:shd w:val="clear" w:color="auto" w:fill="1F3A5F"/>
          </w:tcPr>
          <w:p>
            <w:r>
              <w:rPr>
                <w:rFonts w:ascii="Calibri" w:hAnsi="Calibri"/>
                <w:b/>
                <w:color w:val="FFFFFF"/>
                <w:sz w:val="20"/>
              </w:rPr>
              <w:t>Status</w:t>
            </w:r>
          </w:p>
        </w:tc>
        <w:tc>
          <w:tcPr>
            <w:tcW w:type="dxa" w:w="3456"/>
            <w:shd w:val="clear" w:color="auto" w:fill="1F3A5F"/>
          </w:tcPr>
          <w:p>
            <w:r>
              <w:rPr>
                <w:rFonts w:ascii="Calibri" w:hAnsi="Calibri"/>
                <w:b/>
                <w:color w:val="FFFFFF"/>
                <w:sz w:val="20"/>
              </w:rPr>
              <w:t>Location in deliverables</w:t>
            </w:r>
          </w:p>
        </w:tc>
      </w:tr>
      <w:tr>
        <w:tc>
          <w:tcPr>
            <w:tcW w:type="dxa" w:w="4608"/>
          </w:tcPr>
          <w:p>
            <w:r>
              <w:rPr>
                <w:rFonts w:ascii="Calibri" w:hAnsi="Calibri"/>
                <w:sz w:val="18"/>
              </w:rPr>
              <w:t>Dashboard or visual report present using any tool</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§A8 embeds 6 matplotlib charts rendered from pipeline output + §A12 dashboard mockup (Phase 2 KPI dashboard)</w:t>
            </w:r>
          </w:p>
        </w:tc>
      </w:tr>
      <w:tr>
        <w:tc>
          <w:tcPr>
            <w:tcW w:type="dxa" w:w="4608"/>
          </w:tcPr>
          <w:p>
            <w:r>
              <w:rPr>
                <w:rFonts w:ascii="Calibri" w:hAnsi="Calibri"/>
                <w:sz w:val="18"/>
              </w:rPr>
              <w:t>Written interpretation accompanies every chart: axes, trends, anomalies explained</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§A8 — each of Charts 1–6 has axes, finding, and client-implication callout</w:t>
            </w:r>
          </w:p>
        </w:tc>
      </w:tr>
      <w:tr>
        <w:tc>
          <w:tcPr>
            <w:tcW w:type="dxa" w:w="4608"/>
          </w:tcPr>
          <w:p>
            <w:r>
              <w:rPr>
                <w:rFonts w:ascii="Calibri" w:hAnsi="Calibri"/>
                <w:sz w:val="18"/>
              </w:rPr>
              <w:t>Insights derived are actionable and framed in business terms, not purely descriptive</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§A8 'Actionable insights summary' links each insight to a recommendation tag [R1–R5]; §A12.1 recommendations table closes the loop</w:t>
            </w:r>
          </w:p>
        </w:tc>
      </w:tr>
    </w:tbl>
    <w:p>
      <w:pPr>
        <w:pStyle w:val="Heading3"/>
      </w:pPr>
      <w:r>
        <w:rPr>
          <w:rFonts w:ascii="Calibri" w:hAnsi="Calibri"/>
          <w:color w:val="1F3A5F"/>
        </w:rPr>
        <w:t>A9 — Security, Governance and Archival (Weight: 4)</w:t>
      </w:r>
    </w:p>
    <w:tbl>
      <w:tblPr>
        <w:tblStyle w:val="LightGrid-Accent1"/>
        <w:tblW w:type="auto" w:w="0"/>
        <w:tblLook w:firstColumn="1" w:firstRow="1" w:lastColumn="0" w:lastRow="0" w:noHBand="0" w:noVBand="1" w:val="04A0"/>
      </w:tblPr>
      <w:tblGrid>
        <w:gridCol w:w="3324"/>
        <w:gridCol w:w="3324"/>
        <w:gridCol w:w="3324"/>
      </w:tblGrid>
      <w:tr>
        <w:tc>
          <w:tcPr>
            <w:tcW w:type="dxa" w:w="4608"/>
            <w:shd w:val="clear" w:color="auto" w:fill="1F3A5F"/>
          </w:tcPr>
          <w:p>
            <w:r>
              <w:rPr>
                <w:rFonts w:ascii="Calibri" w:hAnsi="Calibri"/>
                <w:b/>
                <w:color w:val="FFFFFF"/>
                <w:sz w:val="20"/>
              </w:rPr>
              <w:t>Rubric requirement</w:t>
            </w:r>
          </w:p>
        </w:tc>
        <w:tc>
          <w:tcPr>
            <w:tcW w:type="dxa" w:w="1296"/>
            <w:shd w:val="clear" w:color="auto" w:fill="1F3A5F"/>
          </w:tcPr>
          <w:p>
            <w:r>
              <w:rPr>
                <w:rFonts w:ascii="Calibri" w:hAnsi="Calibri"/>
                <w:b/>
                <w:color w:val="FFFFFF"/>
                <w:sz w:val="20"/>
              </w:rPr>
              <w:t>Status</w:t>
            </w:r>
          </w:p>
        </w:tc>
        <w:tc>
          <w:tcPr>
            <w:tcW w:type="dxa" w:w="3456"/>
            <w:shd w:val="clear" w:color="auto" w:fill="1F3A5F"/>
          </w:tcPr>
          <w:p>
            <w:r>
              <w:rPr>
                <w:rFonts w:ascii="Calibri" w:hAnsi="Calibri"/>
                <w:b/>
                <w:color w:val="FFFFFF"/>
                <w:sz w:val="20"/>
              </w:rPr>
              <w:t>Location in deliverables</w:t>
            </w:r>
          </w:p>
        </w:tc>
      </w:tr>
      <w:tr>
        <w:tc>
          <w:tcPr>
            <w:tcW w:type="dxa" w:w="4608"/>
          </w:tcPr>
          <w:p>
            <w:r>
              <w:rPr>
                <w:rFonts w:ascii="Calibri" w:hAnsi="Calibri"/>
                <w:sz w:val="18"/>
              </w:rPr>
              <w:t>PII and sensitive data classified, and handling policy stated</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§A9 'Data sensitivity classification' — low sensitivity rationale + API key as residual credential concern with handling policy</w:t>
            </w:r>
          </w:p>
        </w:tc>
      </w:tr>
      <w:tr>
        <w:tc>
          <w:tcPr>
            <w:tcW w:type="dxa" w:w="4608"/>
          </w:tcPr>
          <w:p>
            <w:r>
              <w:rPr>
                <w:rFonts w:ascii="Calibri" w:hAnsi="Calibri"/>
                <w:sz w:val="18"/>
              </w:rPr>
              <w:t>Access control design documented: roles, permissions, who can do what</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§A9 'Access control design' — Editor/Viewer roles + Phase 2 RBAC migration note; §A12.5 RACI</w:t>
            </w:r>
          </w:p>
        </w:tc>
      </w:tr>
      <w:tr>
        <w:tc>
          <w:tcPr>
            <w:tcW w:type="dxa" w:w="4608"/>
          </w:tcPr>
          <w:p>
            <w:r>
              <w:rPr>
                <w:rFonts w:ascii="Calibri" w:hAnsi="Calibri"/>
                <w:sz w:val="18"/>
              </w:rPr>
              <w:t>Retention, backup, and disaster recovery policies addressed</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§A9 'Retention, backup and recovery' — local CSV + Git + public source re-obtainability</w:t>
            </w:r>
          </w:p>
        </w:tc>
      </w:tr>
      <w:tr>
        <w:tc>
          <w:tcPr>
            <w:tcW w:type="dxa" w:w="4608"/>
          </w:tcPr>
          <w:p>
            <w:r>
              <w:rPr>
                <w:rFonts w:ascii="Calibri" w:hAnsi="Calibri"/>
                <w:sz w:val="18"/>
              </w:rPr>
              <w:t>Cloud vs. local storage trade-off analysed</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§A9 'Storage decision: local versus cloud' — side-by-side trade-offs + Phase 2 recommendation</w:t>
            </w:r>
          </w:p>
        </w:tc>
      </w:tr>
    </w:tbl>
    <w:p>
      <w:pPr>
        <w:pStyle w:val="Heading3"/>
      </w:pPr>
      <w:r>
        <w:rPr>
          <w:rFonts w:ascii="Calibri" w:hAnsi="Calibri"/>
          <w:color w:val="1F3A5F"/>
        </w:rPr>
        <w:t>A10 — AI Usage Documentation (Weight: 3)</w:t>
      </w:r>
    </w:p>
    <w:tbl>
      <w:tblPr>
        <w:tblStyle w:val="LightGrid-Accent1"/>
        <w:tblW w:type="auto" w:w="0"/>
        <w:tblLook w:firstColumn="1" w:firstRow="1" w:lastColumn="0" w:lastRow="0" w:noHBand="0" w:noVBand="1" w:val="04A0"/>
      </w:tblPr>
      <w:tblGrid>
        <w:gridCol w:w="3324"/>
        <w:gridCol w:w="3324"/>
        <w:gridCol w:w="3324"/>
      </w:tblGrid>
      <w:tr>
        <w:tc>
          <w:tcPr>
            <w:tcW w:type="dxa" w:w="4608"/>
            <w:shd w:val="clear" w:color="auto" w:fill="1F3A5F"/>
          </w:tcPr>
          <w:p>
            <w:r>
              <w:rPr>
                <w:rFonts w:ascii="Calibri" w:hAnsi="Calibri"/>
                <w:b/>
                <w:color w:val="FFFFFF"/>
                <w:sz w:val="20"/>
              </w:rPr>
              <w:t>Rubric requirement</w:t>
            </w:r>
          </w:p>
        </w:tc>
        <w:tc>
          <w:tcPr>
            <w:tcW w:type="dxa" w:w="1296"/>
            <w:shd w:val="clear" w:color="auto" w:fill="1F3A5F"/>
          </w:tcPr>
          <w:p>
            <w:r>
              <w:rPr>
                <w:rFonts w:ascii="Calibri" w:hAnsi="Calibri"/>
                <w:b/>
                <w:color w:val="FFFFFF"/>
                <w:sz w:val="20"/>
              </w:rPr>
              <w:t>Status</w:t>
            </w:r>
          </w:p>
        </w:tc>
        <w:tc>
          <w:tcPr>
            <w:tcW w:type="dxa" w:w="3456"/>
            <w:shd w:val="clear" w:color="auto" w:fill="1F3A5F"/>
          </w:tcPr>
          <w:p>
            <w:r>
              <w:rPr>
                <w:rFonts w:ascii="Calibri" w:hAnsi="Calibri"/>
                <w:b/>
                <w:color w:val="FFFFFF"/>
                <w:sz w:val="20"/>
              </w:rPr>
              <w:t>Location in deliverables</w:t>
            </w:r>
          </w:p>
        </w:tc>
      </w:tr>
      <w:tr>
        <w:tc>
          <w:tcPr>
            <w:tcW w:type="dxa" w:w="4608"/>
          </w:tcPr>
          <w:p>
            <w:r>
              <w:rPr>
                <w:rFonts w:ascii="Calibri" w:hAnsi="Calibri"/>
                <w:sz w:val="18"/>
              </w:rPr>
              <w:t>Every AI interaction documented: tool, prompt, output summary, modifications</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§A10 — 5 interactions each with Task / Prompt / AI response summary / Implementation / Modifications</w:t>
            </w:r>
          </w:p>
        </w:tc>
      </w:tr>
      <w:tr>
        <w:tc>
          <w:tcPr>
            <w:tcW w:type="dxa" w:w="4608"/>
          </w:tcPr>
          <w:p>
            <w:r>
              <w:rPr>
                <w:rFonts w:ascii="Calibri" w:hAnsi="Calibri"/>
                <w:sz w:val="18"/>
              </w:rPr>
              <w:t>AI tools cited as sources in references section</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§A11 'AI assistance' — Anthropic Claude cited with reference to §A10 log</w:t>
            </w:r>
          </w:p>
        </w:tc>
      </w:tr>
      <w:tr>
        <w:tc>
          <w:tcPr>
            <w:tcW w:type="dxa" w:w="4608"/>
          </w:tcPr>
          <w:p>
            <w:r>
              <w:rPr>
                <w:rFonts w:ascii="Calibri" w:hAnsi="Calibri"/>
                <w:sz w:val="18"/>
              </w:rPr>
              <w:t>No undocumented copy-paste of AI-generated code or text</w:t>
            </w:r>
          </w:p>
        </w:tc>
        <w:tc>
          <w:tcPr>
            <w:tcW w:type="dxa" w:w="1296"/>
            <w:shd w:val="clear" w:color="auto" w:fill="D4EDDA"/>
          </w:tcPr>
          <w:p>
            <w:r>
              <w:rPr>
                <w:rFonts w:ascii="Calibri" w:hAnsi="Calibri"/>
                <w:b/>
                <w:sz w:val="18"/>
              </w:rPr>
              <w:t>✅ Met</w:t>
            </w:r>
          </w:p>
        </w:tc>
        <w:tc>
          <w:tcPr>
            <w:tcW w:type="dxa" w:w="3456"/>
          </w:tcPr>
          <w:p>
            <w:r>
              <w:rPr>
                <w:rFonts w:ascii="Calibri" w:hAnsi="Calibri"/>
                <w:sz w:val="18"/>
              </w:rPr>
              <w:t>All AI contributions traceable via §A10; interpretations rewritten in author voice as noted in Modifications</w:t>
            </w:r>
          </w:p>
        </w:tc>
      </w:tr>
    </w:tbl>
    <w:p>
      <w:pPr>
        <w:pStyle w:val="Heading3"/>
      </w:pPr>
      <w:r>
        <w:rPr>
          <w:rFonts w:ascii="Calibri" w:hAnsi="Calibri"/>
          <w:color w:val="1F3A5F"/>
        </w:rPr>
        <w:t>A11 — Report Quality and Referencing (Weight: 3)</w:t>
      </w:r>
    </w:p>
    <w:tbl>
      <w:tblPr>
        <w:tblStyle w:val="LightGrid-Accent1"/>
        <w:tblW w:type="auto" w:w="0"/>
        <w:tblLook w:firstColumn="1" w:firstRow="1" w:lastColumn="0" w:lastRow="0" w:noHBand="0" w:noVBand="1" w:val="04A0"/>
      </w:tblPr>
      <w:tblGrid>
        <w:gridCol w:w="3324"/>
        <w:gridCol w:w="3324"/>
        <w:gridCol w:w="3324"/>
      </w:tblGrid>
      <w:tr>
        <w:tc>
          <w:tcPr>
            <w:tcW w:type="dxa" w:w="4608"/>
            <w:shd w:val="clear" w:color="auto" w:fill="1F3A5F"/>
          </w:tcPr>
          <w:p>
            <w:r>
              <w:rPr>
                <w:rFonts w:ascii="Calibri" w:hAnsi="Calibri"/>
                <w:b/>
                <w:color w:val="FFFFFF"/>
                <w:sz w:val="20"/>
              </w:rPr>
              <w:t>Rubric requirement</w:t>
            </w:r>
          </w:p>
        </w:tc>
        <w:tc>
          <w:tcPr>
            <w:tcW w:type="dxa" w:w="1296"/>
            <w:shd w:val="clear" w:color="auto" w:fill="1F3A5F"/>
          </w:tcPr>
          <w:p>
            <w:r>
              <w:rPr>
                <w:rFonts w:ascii="Calibri" w:hAnsi="Calibri"/>
                <w:b/>
                <w:color w:val="FFFFFF"/>
                <w:sz w:val="20"/>
              </w:rPr>
              <w:t>Status</w:t>
            </w:r>
          </w:p>
        </w:tc>
        <w:tc>
          <w:tcPr>
            <w:tcW w:type="dxa" w:w="3456"/>
            <w:shd w:val="clear" w:color="auto" w:fill="1F3A5F"/>
          </w:tcPr>
          <w:p>
            <w:r>
              <w:rPr>
                <w:rFonts w:ascii="Calibri" w:hAnsi="Calibri"/>
                <w:b/>
                <w:color w:val="FFFFFF"/>
                <w:sz w:val="20"/>
              </w:rPr>
              <w:t>Location in deliverables</w:t>
            </w:r>
          </w:p>
        </w:tc>
      </w:tr>
      <w:tr>
        <w:tc>
          <w:tcPr>
            <w:tcW w:type="dxa" w:w="4608"/>
          </w:tcPr>
          <w:p>
            <w:r>
              <w:rPr>
                <w:rFonts w:ascii="Calibri" w:hAnsi="Calibri"/>
                <w:sz w:val="18"/>
              </w:rPr>
              <w:t>Architecture diagrams (data flow, ER/schema, pipeline overview) present and legible</w:t>
            </w:r>
          </w:p>
        </w:tc>
        <w:tc>
          <w:tcPr>
            <w:tcW w:type="dxa" w:w="1296"/>
            <w:shd w:val="clear" w:color="auto" w:fill="D4EDDA"/>
          </w:tcPr>
          <w:p>
            <w:r>
              <w:rPr>
                <w:rFonts w:ascii="Calibri" w:hAnsi="Calibri"/>
                <w:b/>
                <w:sz w:val="18"/>
              </w:rPr>
              <w:t>✅ Met</w:t>
            </w:r>
          </w:p>
        </w:tc>
        <w:tc>
          <w:tcPr>
            <w:tcW w:type="dxa" w:w="3456"/>
          </w:tcPr>
          <w:p>
            <w:r>
              <w:rPr>
                <w:rFonts w:ascii="Calibri" w:hAnsi="Calibri"/>
                <w:sz w:val="18"/>
              </w:rPr>
              <w:t>3 distinct diagrams: (1) pipeline overview — Appendix A; (2) ER/schema — §A4; (3) scalability roadmap timeline — §A12.2. Plus 6 analytical charts, risk heatmap, dashboard mockup</w:t>
            </w:r>
          </w:p>
        </w:tc>
      </w:tr>
      <w:tr>
        <w:tc>
          <w:tcPr>
            <w:tcW w:type="dxa" w:w="4608"/>
          </w:tcPr>
          <w:p>
            <w:r>
              <w:rPr>
                <w:rFonts w:ascii="Calibri" w:hAnsi="Calibri"/>
                <w:sz w:val="18"/>
              </w:rPr>
              <w:t>Consistent formatting and academic writing throughout</w:t>
            </w:r>
          </w:p>
        </w:tc>
        <w:tc>
          <w:tcPr>
            <w:tcW w:type="dxa" w:w="1296"/>
            <w:shd w:val="clear" w:color="auto" w:fill="D4EDDA"/>
          </w:tcPr>
          <w:p>
            <w:r>
              <w:rPr>
                <w:rFonts w:ascii="Calibri" w:hAnsi="Calibri"/>
                <w:b/>
                <w:sz w:val="18"/>
              </w:rPr>
              <w:t>✅ Met</w:t>
            </w:r>
          </w:p>
        </w:tc>
        <w:tc>
          <w:tcPr>
            <w:tcW w:type="dxa" w:w="3456"/>
          </w:tcPr>
          <w:p>
            <w:r>
              <w:rPr>
                <w:rFonts w:ascii="Calibri" w:hAnsi="Calibri"/>
                <w:sz w:val="18"/>
              </w:rPr>
              <w:t>Single docx with navy/gold theme, consistent heading hierarchy, Calibri default, uniform table styling</w:t>
            </w:r>
          </w:p>
        </w:tc>
      </w:tr>
      <w:tr>
        <w:tc>
          <w:tcPr>
            <w:tcW w:type="dxa" w:w="4608"/>
          </w:tcPr>
          <w:p>
            <w:r>
              <w:rPr>
                <w:rFonts w:ascii="Calibri" w:hAnsi="Calibri"/>
                <w:sz w:val="18"/>
              </w:rPr>
              <w:t>All sources, datasets, tools, papers, and AI interactions properly cited</w:t>
            </w:r>
          </w:p>
        </w:tc>
        <w:tc>
          <w:tcPr>
            <w:tcW w:type="dxa" w:w="1296"/>
            <w:shd w:val="clear" w:color="auto" w:fill="D4EDDA"/>
          </w:tcPr>
          <w:p>
            <w:r>
              <w:rPr>
                <w:rFonts w:ascii="Calibri" w:hAnsi="Calibri"/>
                <w:b/>
                <w:sz w:val="18"/>
              </w:rPr>
              <w:t>✅ Met</w:t>
            </w:r>
          </w:p>
        </w:tc>
        <w:tc>
          <w:tcPr>
            <w:tcW w:type="dxa" w:w="3456"/>
          </w:tcPr>
          <w:p>
            <w:r>
              <w:rPr>
                <w:rFonts w:ascii="Calibri" w:hAnsi="Calibri"/>
                <w:sz w:val="18"/>
              </w:rPr>
              <w:t>Report §A11 — 4 subsections (Datasets, Tools and libraries, AI assistance, Course materials)</w:t>
            </w:r>
          </w:p>
        </w:tc>
      </w:tr>
    </w:tbl>
    <w:p>
      <w:r>
        <w:br w:type="page"/>
      </w:r>
    </w:p>
    <w:p>
      <w:pPr>
        <w:pStyle w:val="Heading2"/>
      </w:pPr>
      <w:r>
        <w:rPr>
          <w:rFonts w:ascii="Calibri" w:hAnsi="Calibri"/>
          <w:color w:val="1F3A5F"/>
        </w:rPr>
        <w:t>Section B — Code Repository (15% of grade)</w:t>
      </w:r>
    </w:p>
    <w:p>
      <w:pPr>
        <w:pStyle w:val="Heading3"/>
      </w:pPr>
      <w:r>
        <w:rPr>
          <w:rFonts w:ascii="Calibri" w:hAnsi="Calibri"/>
          <w:color w:val="1F3A5F"/>
        </w:rPr>
        <w:t>B1 — Code Organisation and README (Weight: 3)</w:t>
      </w:r>
    </w:p>
    <w:tbl>
      <w:tblPr>
        <w:tblStyle w:val="LightGrid-Accent1"/>
        <w:tblW w:type="auto" w:w="0"/>
        <w:tblLook w:firstColumn="1" w:firstRow="1" w:lastColumn="0" w:lastRow="0" w:noHBand="0" w:noVBand="1" w:val="04A0"/>
      </w:tblPr>
      <w:tblGrid>
        <w:gridCol w:w="3324"/>
        <w:gridCol w:w="3324"/>
        <w:gridCol w:w="3324"/>
      </w:tblGrid>
      <w:tr>
        <w:tc>
          <w:tcPr>
            <w:tcW w:type="dxa" w:w="4608"/>
            <w:shd w:val="clear" w:color="auto" w:fill="1F3A5F"/>
          </w:tcPr>
          <w:p>
            <w:r>
              <w:rPr>
                <w:rFonts w:ascii="Calibri" w:hAnsi="Calibri"/>
                <w:b/>
                <w:color w:val="FFFFFF"/>
                <w:sz w:val="20"/>
              </w:rPr>
              <w:t>Rubric requirement</w:t>
            </w:r>
          </w:p>
        </w:tc>
        <w:tc>
          <w:tcPr>
            <w:tcW w:type="dxa" w:w="1296"/>
            <w:shd w:val="clear" w:color="auto" w:fill="1F3A5F"/>
          </w:tcPr>
          <w:p>
            <w:r>
              <w:rPr>
                <w:rFonts w:ascii="Calibri" w:hAnsi="Calibri"/>
                <w:b/>
                <w:color w:val="FFFFFF"/>
                <w:sz w:val="20"/>
              </w:rPr>
              <w:t>Status</w:t>
            </w:r>
          </w:p>
        </w:tc>
        <w:tc>
          <w:tcPr>
            <w:tcW w:type="dxa" w:w="3456"/>
            <w:shd w:val="clear" w:color="auto" w:fill="1F3A5F"/>
          </w:tcPr>
          <w:p>
            <w:r>
              <w:rPr>
                <w:rFonts w:ascii="Calibri" w:hAnsi="Calibri"/>
                <w:b/>
                <w:color w:val="FFFFFF"/>
                <w:sz w:val="20"/>
              </w:rPr>
              <w:t>Location in deliverables</w:t>
            </w:r>
          </w:p>
        </w:tc>
      </w:tr>
      <w:tr>
        <w:tc>
          <w:tcPr>
            <w:tcW w:type="dxa" w:w="4608"/>
          </w:tcPr>
          <w:p>
            <w:r>
              <w:rPr>
                <w:rFonts w:ascii="Calibri" w:hAnsi="Calibri"/>
                <w:sz w:val="18"/>
              </w:rPr>
              <w:t>README with clear setup instructions: environment, dependencies, run order</w:t>
            </w:r>
          </w:p>
        </w:tc>
        <w:tc>
          <w:tcPr>
            <w:tcW w:type="dxa" w:w="1296"/>
            <w:shd w:val="clear" w:color="auto" w:fill="D4EDDA"/>
          </w:tcPr>
          <w:p>
            <w:r>
              <w:rPr>
                <w:rFonts w:ascii="Calibri" w:hAnsi="Calibri"/>
                <w:b/>
                <w:sz w:val="18"/>
              </w:rPr>
              <w:t>✅ Met</w:t>
            </w:r>
          </w:p>
        </w:tc>
        <w:tc>
          <w:tcPr>
            <w:tcW w:type="dxa" w:w="3456"/>
          </w:tcPr>
          <w:p>
            <w:r>
              <w:rPr>
                <w:rFonts w:ascii="Calibri" w:hAnsi="Calibri"/>
                <w:sz w:val="18"/>
              </w:rPr>
              <w:t>README.md — sections: Setup (5 numbered steps), Architecture Overview, Repository Layout, Analytical Queries table</w:t>
            </w:r>
          </w:p>
        </w:tc>
      </w:tr>
      <w:tr>
        <w:tc>
          <w:tcPr>
            <w:tcW w:type="dxa" w:w="4608"/>
          </w:tcPr>
          <w:p>
            <w:r>
              <w:rPr>
                <w:rFonts w:ascii="Calibri" w:hAnsi="Calibri"/>
                <w:sz w:val="18"/>
              </w:rPr>
              <w:t>Logical folder structure (e.g. ingestion/, cleaning/, queries/, viz/)</w:t>
            </w:r>
          </w:p>
        </w:tc>
        <w:tc>
          <w:tcPr>
            <w:tcW w:type="dxa" w:w="1296"/>
            <w:shd w:val="clear" w:color="auto" w:fill="D4EDDA"/>
          </w:tcPr>
          <w:p>
            <w:r>
              <w:rPr>
                <w:rFonts w:ascii="Calibri" w:hAnsi="Calibri"/>
                <w:b/>
                <w:sz w:val="18"/>
              </w:rPr>
              <w:t>✅ Met</w:t>
            </w:r>
          </w:p>
        </w:tc>
        <w:tc>
          <w:tcPr>
            <w:tcW w:type="dxa" w:w="3456"/>
          </w:tcPr>
          <w:p>
            <w:r>
              <w:rPr>
                <w:rFonts w:ascii="Calibri" w:hAnsi="Calibri"/>
                <w:sz w:val="18"/>
              </w:rPr>
              <w:t>msba305/ has code/, data/, diagrams/, report/, notebooks/ — layers documented in README</w:t>
            </w:r>
          </w:p>
        </w:tc>
      </w:tr>
      <w:tr>
        <w:tc>
          <w:tcPr>
            <w:tcW w:type="dxa" w:w="4608"/>
          </w:tcPr>
          <w:p>
            <w:r>
              <w:rPr>
                <w:rFonts w:ascii="Calibri" w:hAnsi="Calibri"/>
                <w:sz w:val="18"/>
              </w:rPr>
              <w:t>Requirements file or environment specification (requirements.txt or environment.yml) included</w:t>
            </w:r>
          </w:p>
        </w:tc>
        <w:tc>
          <w:tcPr>
            <w:tcW w:type="dxa" w:w="1296"/>
            <w:shd w:val="clear" w:color="auto" w:fill="D4EDDA"/>
          </w:tcPr>
          <w:p>
            <w:r>
              <w:rPr>
                <w:rFonts w:ascii="Calibri" w:hAnsi="Calibri"/>
                <w:b/>
                <w:sz w:val="18"/>
              </w:rPr>
              <w:t>✅ Met</w:t>
            </w:r>
          </w:p>
        </w:tc>
        <w:tc>
          <w:tcPr>
            <w:tcW w:type="dxa" w:w="3456"/>
          </w:tcPr>
          <w:p>
            <w:r>
              <w:rPr>
                <w:rFonts w:ascii="Calibri" w:hAnsi="Calibri"/>
                <w:sz w:val="18"/>
              </w:rPr>
              <w:t>requirements.txt — pandas, requests, matplotlib, python-dotenv</w:t>
            </w:r>
          </w:p>
        </w:tc>
      </w:tr>
    </w:tbl>
    <w:p>
      <w:pPr>
        <w:pStyle w:val="Heading3"/>
      </w:pPr>
      <w:r>
        <w:rPr>
          <w:rFonts w:ascii="Calibri" w:hAnsi="Calibri"/>
          <w:color w:val="1F3A5F"/>
        </w:rPr>
        <w:t>B2 — Code Quality and Documentation (Weight: 4)</w:t>
      </w:r>
    </w:p>
    <w:tbl>
      <w:tblPr>
        <w:tblStyle w:val="LightGrid-Accent1"/>
        <w:tblW w:type="auto" w:w="0"/>
        <w:tblLook w:firstColumn="1" w:firstRow="1" w:lastColumn="0" w:lastRow="0" w:noHBand="0" w:noVBand="1" w:val="04A0"/>
      </w:tblPr>
      <w:tblGrid>
        <w:gridCol w:w="3324"/>
        <w:gridCol w:w="3324"/>
        <w:gridCol w:w="3324"/>
      </w:tblGrid>
      <w:tr>
        <w:tc>
          <w:tcPr>
            <w:tcW w:type="dxa" w:w="4608"/>
            <w:shd w:val="clear" w:color="auto" w:fill="1F3A5F"/>
          </w:tcPr>
          <w:p>
            <w:r>
              <w:rPr>
                <w:rFonts w:ascii="Calibri" w:hAnsi="Calibri"/>
                <w:b/>
                <w:color w:val="FFFFFF"/>
                <w:sz w:val="20"/>
              </w:rPr>
              <w:t>Rubric requirement</w:t>
            </w:r>
          </w:p>
        </w:tc>
        <w:tc>
          <w:tcPr>
            <w:tcW w:type="dxa" w:w="1296"/>
            <w:shd w:val="clear" w:color="auto" w:fill="1F3A5F"/>
          </w:tcPr>
          <w:p>
            <w:r>
              <w:rPr>
                <w:rFonts w:ascii="Calibri" w:hAnsi="Calibri"/>
                <w:b/>
                <w:color w:val="FFFFFF"/>
                <w:sz w:val="20"/>
              </w:rPr>
              <w:t>Status</w:t>
            </w:r>
          </w:p>
        </w:tc>
        <w:tc>
          <w:tcPr>
            <w:tcW w:type="dxa" w:w="3456"/>
            <w:shd w:val="clear" w:color="auto" w:fill="1F3A5F"/>
          </w:tcPr>
          <w:p>
            <w:r>
              <w:rPr>
                <w:rFonts w:ascii="Calibri" w:hAnsi="Calibri"/>
                <w:b/>
                <w:color w:val="FFFFFF"/>
                <w:sz w:val="20"/>
              </w:rPr>
              <w:t>Location in deliverables</w:t>
            </w:r>
          </w:p>
        </w:tc>
      </w:tr>
      <w:tr>
        <w:tc>
          <w:tcPr>
            <w:tcW w:type="dxa" w:w="4608"/>
          </w:tcPr>
          <w:p>
            <w:r>
              <w:rPr>
                <w:rFonts w:ascii="Calibri" w:hAnsi="Calibri"/>
                <w:sz w:val="18"/>
              </w:rPr>
              <w:t>Inline comments explain non-obvious logic: not just what, but why</w:t>
            </w:r>
          </w:p>
        </w:tc>
        <w:tc>
          <w:tcPr>
            <w:tcW w:type="dxa" w:w="1296"/>
            <w:shd w:val="clear" w:color="auto" w:fill="D4EDDA"/>
          </w:tcPr>
          <w:p>
            <w:r>
              <w:rPr>
                <w:rFonts w:ascii="Calibri" w:hAnsi="Calibri"/>
                <w:b/>
                <w:sz w:val="18"/>
              </w:rPr>
              <w:t>✅ Met</w:t>
            </w:r>
          </w:p>
        </w:tc>
        <w:tc>
          <w:tcPr>
            <w:tcW w:type="dxa" w:w="3456"/>
          </w:tcPr>
          <w:p>
            <w:r>
              <w:rPr>
                <w:rFonts w:ascii="Calibri" w:hAnsi="Calibri"/>
                <w:sz w:val="18"/>
              </w:rPr>
              <w:t>code/pipeline.py — docstrings on every function explain why the pattern was chosen (e.g. 'fail loudly', 'graceful degradation')</w:t>
            </w:r>
          </w:p>
        </w:tc>
      </w:tr>
      <w:tr>
        <w:tc>
          <w:tcPr>
            <w:tcW w:type="dxa" w:w="4608"/>
          </w:tcPr>
          <w:p>
            <w:r>
              <w:rPr>
                <w:rFonts w:ascii="Calibri" w:hAnsi="Calibri"/>
                <w:sz w:val="18"/>
              </w:rPr>
              <w:t>Functions or classes used appropriately; no monolithic scripts</w:t>
            </w:r>
          </w:p>
        </w:tc>
        <w:tc>
          <w:tcPr>
            <w:tcW w:type="dxa" w:w="1296"/>
            <w:shd w:val="clear" w:color="auto" w:fill="D4EDDA"/>
          </w:tcPr>
          <w:p>
            <w:r>
              <w:rPr>
                <w:rFonts w:ascii="Calibri" w:hAnsi="Calibri"/>
                <w:b/>
                <w:sz w:val="18"/>
              </w:rPr>
              <w:t>✅ Met</w:t>
            </w:r>
          </w:p>
        </w:tc>
        <w:tc>
          <w:tcPr>
            <w:tcW w:type="dxa" w:w="3456"/>
          </w:tcPr>
          <w:p>
            <w:r>
              <w:rPr>
                <w:rFonts w:ascii="Calibri" w:hAnsi="Calibri"/>
                <w:sz w:val="18"/>
              </w:rPr>
              <w:t>code/pipeline.py — 13 functions organised into ingestion / cleaning / integration / queries / visualisation / orchestration layers</w:t>
            </w:r>
          </w:p>
        </w:tc>
      </w:tr>
      <w:tr>
        <w:tc>
          <w:tcPr>
            <w:tcW w:type="dxa" w:w="4608"/>
          </w:tcPr>
          <w:p>
            <w:r>
              <w:rPr>
                <w:rFonts w:ascii="Calibri" w:hAnsi="Calibri"/>
                <w:sz w:val="18"/>
              </w:rPr>
              <w:t>No dead code or unexplained AI-generated blocks</w:t>
            </w:r>
          </w:p>
        </w:tc>
        <w:tc>
          <w:tcPr>
            <w:tcW w:type="dxa" w:w="1296"/>
            <w:shd w:val="clear" w:color="auto" w:fill="D4EDDA"/>
          </w:tcPr>
          <w:p>
            <w:r>
              <w:rPr>
                <w:rFonts w:ascii="Calibri" w:hAnsi="Calibri"/>
                <w:b/>
                <w:sz w:val="18"/>
              </w:rPr>
              <w:t>✅ Met</w:t>
            </w:r>
          </w:p>
        </w:tc>
        <w:tc>
          <w:tcPr>
            <w:tcW w:type="dxa" w:w="3456"/>
          </w:tcPr>
          <w:p>
            <w:r>
              <w:rPr>
                <w:rFonts w:ascii="Calibri" w:hAnsi="Calibri"/>
                <w:sz w:val="18"/>
              </w:rPr>
              <w:t>All code paths invoked by run_pipeline(); any AI contributions are documented in §A10 and present in production form</w:t>
            </w:r>
          </w:p>
        </w:tc>
      </w:tr>
    </w:tbl>
    <w:p>
      <w:pPr>
        <w:pStyle w:val="Heading3"/>
      </w:pPr>
      <w:r>
        <w:rPr>
          <w:rFonts w:ascii="Calibri" w:hAnsi="Calibri"/>
          <w:color w:val="1F3A5F"/>
        </w:rPr>
        <w:t>B3 — Pipeline Completeness (Weight: 4)</w:t>
      </w:r>
    </w:p>
    <w:tbl>
      <w:tblPr>
        <w:tblStyle w:val="LightGrid-Accent1"/>
        <w:tblW w:type="auto" w:w="0"/>
        <w:tblLook w:firstColumn="1" w:firstRow="1" w:lastColumn="0" w:lastRow="0" w:noHBand="0" w:noVBand="1" w:val="04A0"/>
      </w:tblPr>
      <w:tblGrid>
        <w:gridCol w:w="3324"/>
        <w:gridCol w:w="3324"/>
        <w:gridCol w:w="3324"/>
      </w:tblGrid>
      <w:tr>
        <w:tc>
          <w:tcPr>
            <w:tcW w:type="dxa" w:w="4608"/>
            <w:shd w:val="clear" w:color="auto" w:fill="1F3A5F"/>
          </w:tcPr>
          <w:p>
            <w:r>
              <w:rPr>
                <w:rFonts w:ascii="Calibri" w:hAnsi="Calibri"/>
                <w:b/>
                <w:color w:val="FFFFFF"/>
                <w:sz w:val="20"/>
              </w:rPr>
              <w:t>Rubric requirement</w:t>
            </w:r>
          </w:p>
        </w:tc>
        <w:tc>
          <w:tcPr>
            <w:tcW w:type="dxa" w:w="1296"/>
            <w:shd w:val="clear" w:color="auto" w:fill="1F3A5F"/>
          </w:tcPr>
          <w:p>
            <w:r>
              <w:rPr>
                <w:rFonts w:ascii="Calibri" w:hAnsi="Calibri"/>
                <w:b/>
                <w:color w:val="FFFFFF"/>
                <w:sz w:val="20"/>
              </w:rPr>
              <w:t>Status</w:t>
            </w:r>
          </w:p>
        </w:tc>
        <w:tc>
          <w:tcPr>
            <w:tcW w:type="dxa" w:w="3456"/>
            <w:shd w:val="clear" w:color="auto" w:fill="1F3A5F"/>
          </w:tcPr>
          <w:p>
            <w:r>
              <w:rPr>
                <w:rFonts w:ascii="Calibri" w:hAnsi="Calibri"/>
                <w:b/>
                <w:color w:val="FFFFFF"/>
                <w:sz w:val="20"/>
              </w:rPr>
              <w:t>Location in deliverables</w:t>
            </w:r>
          </w:p>
        </w:tc>
      </w:tr>
      <w:tr>
        <w:tc>
          <w:tcPr>
            <w:tcW w:type="dxa" w:w="4608"/>
          </w:tcPr>
          <w:p>
            <w:r>
              <w:rPr>
                <w:rFonts w:ascii="Calibri" w:hAnsi="Calibri"/>
                <w:sz w:val="18"/>
              </w:rPr>
              <w:t>Scripts for ingestion, cleaning, storage, and querying all present and runnable</w:t>
            </w:r>
          </w:p>
        </w:tc>
        <w:tc>
          <w:tcPr>
            <w:tcW w:type="dxa" w:w="1296"/>
            <w:shd w:val="clear" w:color="auto" w:fill="D4EDDA"/>
          </w:tcPr>
          <w:p>
            <w:r>
              <w:rPr>
                <w:rFonts w:ascii="Calibri" w:hAnsi="Calibri"/>
                <w:b/>
                <w:sz w:val="18"/>
              </w:rPr>
              <w:t>✅ Met</w:t>
            </w:r>
          </w:p>
        </w:tc>
        <w:tc>
          <w:tcPr>
            <w:tcW w:type="dxa" w:w="3456"/>
          </w:tcPr>
          <w:p>
            <w:r>
              <w:rPr>
                <w:rFonts w:ascii="Calibri" w:hAnsi="Calibri"/>
                <w:sz w:val="18"/>
              </w:rPr>
              <w:t>code/pipeline.py has ingest_flight_delays, ingest_airports, ingest_realtime_flights, clean_flight_delays, integrate_sources, query_1..query_5</w:t>
            </w:r>
          </w:p>
        </w:tc>
      </w:tr>
      <w:tr>
        <w:tc>
          <w:tcPr>
            <w:tcW w:type="dxa" w:w="4608"/>
          </w:tcPr>
          <w:p>
            <w:r>
              <w:rPr>
                <w:rFonts w:ascii="Calibri" w:hAnsi="Calibri"/>
                <w:sz w:val="18"/>
              </w:rPr>
              <w:t>Jupyter notebooks demonstrate key transformations with visible outputs</w:t>
            </w:r>
          </w:p>
        </w:tc>
        <w:tc>
          <w:tcPr>
            <w:tcW w:type="dxa" w:w="1296"/>
            <w:shd w:val="clear" w:color="auto" w:fill="D4EDDA"/>
          </w:tcPr>
          <w:p>
            <w:r>
              <w:rPr>
                <w:rFonts w:ascii="Calibri" w:hAnsi="Calibri"/>
                <w:b/>
                <w:sz w:val="18"/>
              </w:rPr>
              <w:t>✅ Met</w:t>
            </w:r>
          </w:p>
        </w:tc>
        <w:tc>
          <w:tcPr>
            <w:tcW w:type="dxa" w:w="3456"/>
          </w:tcPr>
          <w:p>
            <w:r>
              <w:rPr>
                <w:rFonts w:ascii="Calibri" w:hAnsi="Calibri"/>
                <w:sz w:val="18"/>
              </w:rPr>
              <w:t>notebooks/pipeline_demo.ipynb — narrated walkthrough with rendered outputs and charts</w:t>
            </w:r>
          </w:p>
        </w:tc>
      </w:tr>
      <w:tr>
        <w:tc>
          <w:tcPr>
            <w:tcW w:type="dxa" w:w="4608"/>
          </w:tcPr>
          <w:p>
            <w:r>
              <w:rPr>
                <w:rFonts w:ascii="Calibri" w:hAnsi="Calibri"/>
                <w:sz w:val="18"/>
              </w:rPr>
              <w:t>Sample data or reproducibility instructions included</w:t>
            </w:r>
          </w:p>
        </w:tc>
        <w:tc>
          <w:tcPr>
            <w:tcW w:type="dxa" w:w="1296"/>
            <w:shd w:val="clear" w:color="auto" w:fill="D4EDDA"/>
          </w:tcPr>
          <w:p>
            <w:r>
              <w:rPr>
                <w:rFonts w:ascii="Calibri" w:hAnsi="Calibri"/>
                <w:b/>
                <w:sz w:val="18"/>
              </w:rPr>
              <w:t>✅ Met</w:t>
            </w:r>
          </w:p>
        </w:tc>
        <w:tc>
          <w:tcPr>
            <w:tcW w:type="dxa" w:w="3456"/>
          </w:tcPr>
          <w:p>
            <w:r>
              <w:rPr>
                <w:rFonts w:ascii="Calibri" w:hAnsi="Calibri"/>
                <w:sz w:val="18"/>
              </w:rPr>
              <w:t>data/bts_sample.csv (200-row structural sample) + README.md Setup section with full run instructions</w:t>
            </w:r>
          </w:p>
        </w:tc>
      </w:tr>
    </w:tbl>
    <w:p>
      <w:pPr>
        <w:pStyle w:val="Heading3"/>
      </w:pPr>
      <w:r>
        <w:rPr>
          <w:rFonts w:ascii="Calibri" w:hAnsi="Calibri"/>
          <w:color w:val="1F3A5F"/>
        </w:rPr>
        <w:t>B4 — Error Handling and Robustness (Weight: 4)</w:t>
      </w:r>
    </w:p>
    <w:tbl>
      <w:tblPr>
        <w:tblStyle w:val="LightGrid-Accent1"/>
        <w:tblW w:type="auto" w:w="0"/>
        <w:tblLook w:firstColumn="1" w:firstRow="1" w:lastColumn="0" w:lastRow="0" w:noHBand="0" w:noVBand="1" w:val="04A0"/>
      </w:tblPr>
      <w:tblGrid>
        <w:gridCol w:w="3324"/>
        <w:gridCol w:w="3324"/>
        <w:gridCol w:w="3324"/>
      </w:tblGrid>
      <w:tr>
        <w:tc>
          <w:tcPr>
            <w:tcW w:type="dxa" w:w="4608"/>
            <w:shd w:val="clear" w:color="auto" w:fill="1F3A5F"/>
          </w:tcPr>
          <w:p>
            <w:r>
              <w:rPr>
                <w:rFonts w:ascii="Calibri" w:hAnsi="Calibri"/>
                <w:b/>
                <w:color w:val="FFFFFF"/>
                <w:sz w:val="20"/>
              </w:rPr>
              <w:t>Rubric requirement</w:t>
            </w:r>
          </w:p>
        </w:tc>
        <w:tc>
          <w:tcPr>
            <w:tcW w:type="dxa" w:w="1296"/>
            <w:shd w:val="clear" w:color="auto" w:fill="1F3A5F"/>
          </w:tcPr>
          <w:p>
            <w:r>
              <w:rPr>
                <w:rFonts w:ascii="Calibri" w:hAnsi="Calibri"/>
                <w:b/>
                <w:color w:val="FFFFFF"/>
                <w:sz w:val="20"/>
              </w:rPr>
              <w:t>Status</w:t>
            </w:r>
          </w:p>
        </w:tc>
        <w:tc>
          <w:tcPr>
            <w:tcW w:type="dxa" w:w="3456"/>
            <w:shd w:val="clear" w:color="auto" w:fill="1F3A5F"/>
          </w:tcPr>
          <w:p>
            <w:r>
              <w:rPr>
                <w:rFonts w:ascii="Calibri" w:hAnsi="Calibri"/>
                <w:b/>
                <w:color w:val="FFFFFF"/>
                <w:sz w:val="20"/>
              </w:rPr>
              <w:t>Location in deliverables</w:t>
            </w:r>
          </w:p>
        </w:tc>
      </w:tr>
      <w:tr>
        <w:tc>
          <w:tcPr>
            <w:tcW w:type="dxa" w:w="4608"/>
          </w:tcPr>
          <w:p>
            <w:r>
              <w:rPr>
                <w:rFonts w:ascii="Calibri" w:hAnsi="Calibri"/>
                <w:sz w:val="18"/>
              </w:rPr>
              <w:t>Ingestion scripts use try/except or equivalent to handle connection and parse failures</w:t>
            </w:r>
          </w:p>
        </w:tc>
        <w:tc>
          <w:tcPr>
            <w:tcW w:type="dxa" w:w="1296"/>
            <w:shd w:val="clear" w:color="auto" w:fill="D4EDDA"/>
          </w:tcPr>
          <w:p>
            <w:r>
              <w:rPr>
                <w:rFonts w:ascii="Calibri" w:hAnsi="Calibri"/>
                <w:b/>
                <w:sz w:val="18"/>
              </w:rPr>
              <w:t>✅ Met</w:t>
            </w:r>
          </w:p>
        </w:tc>
        <w:tc>
          <w:tcPr>
            <w:tcW w:type="dxa" w:w="3456"/>
          </w:tcPr>
          <w:p>
            <w:r>
              <w:rPr>
                <w:rFonts w:ascii="Calibri" w:hAnsi="Calibri"/>
                <w:sz w:val="18"/>
              </w:rPr>
              <w:t>code/pipeline.py — ingest_flight_delays catches FileNotFoundError + ParserError; ingest_airports wraps URL fetch; ingest_realtime_flights catches RequestException + ValueError</w:t>
            </w:r>
          </w:p>
        </w:tc>
      </w:tr>
      <w:tr>
        <w:tc>
          <w:tcPr>
            <w:tcW w:type="dxa" w:w="4608"/>
          </w:tcPr>
          <w:p>
            <w:r>
              <w:rPr>
                <w:rFonts w:ascii="Calibri" w:hAnsi="Calibri"/>
                <w:sz w:val="18"/>
              </w:rPr>
              <w:t>Retry logic or graceful failure behaviour documented in code comments</w:t>
            </w:r>
          </w:p>
        </w:tc>
        <w:tc>
          <w:tcPr>
            <w:tcW w:type="dxa" w:w="1296"/>
            <w:shd w:val="clear" w:color="auto" w:fill="D4EDDA"/>
          </w:tcPr>
          <w:p>
            <w:r>
              <w:rPr>
                <w:rFonts w:ascii="Calibri" w:hAnsi="Calibri"/>
                <w:b/>
                <w:sz w:val="18"/>
              </w:rPr>
              <w:t>✅ Met</w:t>
            </w:r>
          </w:p>
        </w:tc>
        <w:tc>
          <w:tcPr>
            <w:tcW w:type="dxa" w:w="3456"/>
          </w:tcPr>
          <w:p>
            <w:r>
              <w:rPr>
                <w:rFonts w:ascii="Calibri" w:hAnsi="Calibri"/>
                <w:sz w:val="18"/>
              </w:rPr>
              <w:t>code/pipeline.py ingest_realtime_flights — MAX_API_RETRIES=3 with backoff; docstring explains return-None degradation</w:t>
            </w:r>
          </w:p>
        </w:tc>
      </w:tr>
      <w:tr>
        <w:tc>
          <w:tcPr>
            <w:tcW w:type="dxa" w:w="4608"/>
          </w:tcPr>
          <w:p>
            <w:r>
              <w:rPr>
                <w:rFonts w:ascii="Calibri" w:hAnsi="Calibri"/>
                <w:sz w:val="18"/>
              </w:rPr>
              <w:t>Edge-case handling (empty files, schema drift, null values) noted in comments or docstrings</w:t>
            </w:r>
          </w:p>
        </w:tc>
        <w:tc>
          <w:tcPr>
            <w:tcW w:type="dxa" w:w="1296"/>
            <w:shd w:val="clear" w:color="auto" w:fill="D4EDDA"/>
          </w:tcPr>
          <w:p>
            <w:r>
              <w:rPr>
                <w:rFonts w:ascii="Calibri" w:hAnsi="Calibri"/>
                <w:b/>
                <w:sz w:val="18"/>
              </w:rPr>
              <w:t>✅ Met</w:t>
            </w:r>
          </w:p>
        </w:tc>
        <w:tc>
          <w:tcPr>
            <w:tcW w:type="dxa" w:w="3456"/>
          </w:tcPr>
          <w:p>
            <w:r>
              <w:rPr>
                <w:rFonts w:ascii="Calibri" w:hAnsi="Calibri"/>
                <w:sz w:val="18"/>
              </w:rPr>
              <w:t>code/pipeline.py — schema validation after ingestion, defensive .get() on API records, dropna strategies in clean_flight_delays</w:t>
            </w:r>
          </w:p>
        </w:tc>
      </w:tr>
    </w:tbl>
    <w:p>
      <w:r>
        <w:br w:type="page"/>
      </w:r>
    </w:p>
    <w:p>
      <w:pPr>
        <w:pStyle w:val="Heading1"/>
      </w:pPr>
      <w:r>
        <w:rPr>
          <w:rFonts w:ascii="Calibri" w:hAnsi="Calibri"/>
          <w:color w:val="1F3A5F"/>
        </w:rPr>
        <w:t>Pre-submission final QA checklist</w:t>
      </w:r>
    </w:p>
    <w:p>
      <w:pPr>
        <w:spacing w:after="80"/>
      </w:pPr>
      <w:r>
        <w:rPr>
          <w:rFonts w:ascii="Calibri" w:hAnsi="Calibri"/>
          <w:b w:val="0"/>
          <w:i w:val="0"/>
          <w:sz w:val="22"/>
        </w:rPr>
        <w:t>Three remaining manual items before upload. These are author-dependent, not code or content gaps.</w:t>
      </w:r>
    </w:p>
    <w:tbl>
      <w:tblPr>
        <w:tblStyle w:val="LightGrid-Accent1"/>
        <w:tblW w:type="auto" w:w="0"/>
        <w:tblLook w:firstColumn="1" w:firstRow="1" w:lastColumn="0" w:lastRow="0" w:noHBand="0" w:noVBand="1" w:val="04A0"/>
      </w:tblPr>
      <w:tblGrid>
        <w:gridCol w:w="3324"/>
        <w:gridCol w:w="3324"/>
        <w:gridCol w:w="3324"/>
      </w:tblGrid>
      <w:tr>
        <w:tc>
          <w:tcPr>
            <w:tcW w:type="dxa" w:w="3312"/>
            <w:shd w:val="clear" w:color="auto" w:fill="1F3A5F"/>
          </w:tcPr>
          <w:p>
            <w:r>
              <w:rPr>
                <w:rFonts w:ascii="Calibri" w:hAnsi="Calibri"/>
                <w:b/>
                <w:color w:val="FFFFFF"/>
                <w:sz w:val="20"/>
              </w:rPr>
              <w:t>Item</w:t>
            </w:r>
          </w:p>
        </w:tc>
        <w:tc>
          <w:tcPr>
            <w:tcW w:type="dxa" w:w="1296"/>
            <w:shd w:val="clear" w:color="auto" w:fill="1F3A5F"/>
          </w:tcPr>
          <w:p>
            <w:r>
              <w:rPr>
                <w:rFonts w:ascii="Calibri" w:hAnsi="Calibri"/>
                <w:b/>
                <w:color w:val="FFFFFF"/>
                <w:sz w:val="20"/>
              </w:rPr>
              <w:t>Status</w:t>
            </w:r>
          </w:p>
        </w:tc>
        <w:tc>
          <w:tcPr>
            <w:tcW w:type="dxa" w:w="4752"/>
            <w:shd w:val="clear" w:color="auto" w:fill="1F3A5F"/>
          </w:tcPr>
          <w:p>
            <w:r>
              <w:rPr>
                <w:rFonts w:ascii="Calibri" w:hAnsi="Calibri"/>
                <w:b/>
                <w:color w:val="FFFFFF"/>
                <w:sz w:val="20"/>
              </w:rPr>
              <w:t>Action</w:t>
            </w:r>
          </w:p>
        </w:tc>
      </w:tr>
      <w:tr>
        <w:tc>
          <w:tcPr>
            <w:tcW w:type="dxa" w:w="3312"/>
          </w:tcPr>
          <w:p>
            <w:r>
              <w:rPr>
                <w:rFonts w:ascii="Calibri" w:hAnsi="Calibri"/>
                <w:sz w:val="20"/>
              </w:rPr>
              <w:t>Open .docx in Word → right-click TOC → 'Update Field'</w:t>
            </w:r>
          </w:p>
        </w:tc>
        <w:tc>
          <w:tcPr>
            <w:tcW w:type="dxa" w:w="1296"/>
            <w:shd w:val="clear" w:color="auto" w:fill="FFF4D6"/>
          </w:tcPr>
          <w:p>
            <w:r>
              <w:rPr>
                <w:rFonts w:ascii="Calibri" w:hAnsi="Calibri"/>
                <w:sz w:val="20"/>
              </w:rPr>
              <w:t>🟡 Manual</w:t>
            </w:r>
          </w:p>
        </w:tc>
        <w:tc>
          <w:tcPr>
            <w:tcW w:type="dxa" w:w="4752"/>
          </w:tcPr>
          <w:p>
            <w:r>
              <w:rPr>
                <w:rFonts w:ascii="Calibri" w:hAnsi="Calibri"/>
                <w:sz w:val="20"/>
              </w:rPr>
              <w:t>Do this once, on both MSBA305_Final_Report.docx and this document.</w:t>
            </w:r>
          </w:p>
        </w:tc>
      </w:tr>
      <w:tr>
        <w:tc>
          <w:tcPr>
            <w:tcW w:type="dxa" w:w="3312"/>
          </w:tcPr>
          <w:p>
            <w:r>
              <w:rPr>
                <w:rFonts w:ascii="Calibri" w:hAnsi="Calibri"/>
                <w:sz w:val="20"/>
              </w:rPr>
              <w:t>Author name on cover page</w:t>
            </w:r>
          </w:p>
        </w:tc>
        <w:tc>
          <w:tcPr>
            <w:tcW w:type="dxa" w:w="1296"/>
            <w:shd w:val="clear" w:color="auto" w:fill="FFF4D6"/>
          </w:tcPr>
          <w:p>
            <w:r>
              <w:rPr>
                <w:rFonts w:ascii="Calibri" w:hAnsi="Calibri"/>
                <w:sz w:val="20"/>
              </w:rPr>
              <w:t>🟡 Manual</w:t>
            </w:r>
          </w:p>
        </w:tc>
        <w:tc>
          <w:tcPr>
            <w:tcW w:type="dxa" w:w="4752"/>
          </w:tcPr>
          <w:p>
            <w:r>
              <w:rPr>
                <w:rFonts w:ascii="Calibri" w:hAnsi="Calibri"/>
                <w:sz w:val="20"/>
              </w:rPr>
              <w:t>Verify 'Mohamad Hassan' matches the name registered with the course; update if needed.</w:t>
            </w:r>
          </w:p>
        </w:tc>
      </w:tr>
      <w:tr>
        <w:tc>
          <w:tcPr>
            <w:tcW w:type="dxa" w:w="3312"/>
          </w:tcPr>
          <w:p>
            <w:r>
              <w:rPr>
                <w:rFonts w:ascii="Calibri" w:hAnsi="Calibri"/>
                <w:sz w:val="20"/>
              </w:rPr>
              <w:t>AviationStack API key rotation</w:t>
            </w:r>
          </w:p>
        </w:tc>
        <w:tc>
          <w:tcPr>
            <w:tcW w:type="dxa" w:w="1296"/>
            <w:shd w:val="clear" w:color="auto" w:fill="FFF4D6"/>
          </w:tcPr>
          <w:p>
            <w:r>
              <w:rPr>
                <w:rFonts w:ascii="Calibri" w:hAnsi="Calibri"/>
                <w:sz w:val="20"/>
              </w:rPr>
              <w:t>🟡 Manual</w:t>
            </w:r>
          </w:p>
        </w:tc>
        <w:tc>
          <w:tcPr>
            <w:tcW w:type="dxa" w:w="4752"/>
          </w:tcPr>
          <w:p>
            <w:r>
              <w:rPr>
                <w:rFonts w:ascii="Calibri" w:hAnsi="Calibri"/>
                <w:sz w:val="20"/>
              </w:rPr>
              <w:t>Rotate the key used in the original script (3d98fa37...). Add the new key only to your local .env, which is already gitignored via .env.example pattern.</w:t>
            </w:r>
          </w:p>
        </w:tc>
      </w:tr>
      <w:tr>
        <w:tc>
          <w:tcPr>
            <w:tcW w:type="dxa" w:w="3312"/>
          </w:tcPr>
          <w:p>
            <w:r>
              <w:rPr>
                <w:rFonts w:ascii="Calibri" w:hAnsi="Calibri"/>
                <w:sz w:val="20"/>
              </w:rPr>
              <w:t>GitHub repository published</w:t>
            </w:r>
          </w:p>
        </w:tc>
        <w:tc>
          <w:tcPr>
            <w:tcW w:type="dxa" w:w="1296"/>
            <w:shd w:val="clear" w:color="auto" w:fill="FFF4D6"/>
          </w:tcPr>
          <w:p>
            <w:r>
              <w:rPr>
                <w:rFonts w:ascii="Calibri" w:hAnsi="Calibri"/>
                <w:sz w:val="20"/>
              </w:rPr>
              <w:t>🟡 Manual</w:t>
            </w:r>
          </w:p>
        </w:tc>
        <w:tc>
          <w:tcPr>
            <w:tcW w:type="dxa" w:w="4752"/>
          </w:tcPr>
          <w:p>
            <w:r>
              <w:rPr>
                <w:rFonts w:ascii="Calibri" w:hAnsi="Calibri"/>
                <w:sz w:val="20"/>
              </w:rPr>
              <w:t>If submission requires a GitHub link rather than a zip: push the msba305/ folder to a new private or public repo, add the link to your Moodle submission.</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