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EB7A3">
      <w:pPr>
        <w:spacing w:after="360"/>
        <w:jc w:val="center"/>
      </w:pPr>
      <w:bookmarkStart w:id="0" w:name="_GoBack"/>
      <w:bookmarkEnd w:id="0"/>
      <w:r>
        <w:rPr>
          <w:rFonts w:ascii="Arial" w:hAnsi="Arial" w:eastAsia="黑体"/>
          <w:b/>
          <w:color w:val="000000"/>
          <w:sz w:val="36"/>
        </w:rPr>
        <w:t>《开源创新思维》课程成绩评定标准</w:t>
      </w:r>
    </w:p>
    <w:p w14:paraId="4E73EED1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一、评定原则</w:t>
      </w:r>
    </w:p>
    <w:p w14:paraId="4470A9C3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课程以"在实践中理解开源、在传播中践行开源、在思考中创新开源"为教学目标，成绩评定坚持过程性评价与结果性评价相结合、量化数据与质量评判相结合的原则，重点考查学生参与开源实践、运营开源传播渠道、形成独立开源认知的综合能力。</w:t>
      </w:r>
    </w:p>
    <w:p w14:paraId="3446DD7C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总成绩由四项常规评分维度（满分100分）与一项加分项（上限10分）构成。常规维度合计100分；加分项直接计入总分，总成绩上限按100分计，加分部分主要用于优秀等次评定及同分排序。所有量化数据以课程统一截止时间的平台公开数据截图为准，严禁刷量、抄袭、代写，一经查实按考试违纪处理。</w:t>
      </w:r>
    </w:p>
    <w:p w14:paraId="48CAB1CE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二、总成绩构成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041"/>
        <w:gridCol w:w="1134"/>
        <w:gridCol w:w="4649"/>
      </w:tblGrid>
      <w:tr w14:paraId="699E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258F8C3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C97968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评分维度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3AA8E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分值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0AF2C73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主要考核内容</w:t>
            </w:r>
          </w:p>
        </w:tc>
      </w:tr>
      <w:tr w14:paraId="6EF2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D5E145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041" w:type="dxa"/>
            <w:vAlign w:val="center"/>
          </w:tcPr>
          <w:p w14:paraId="14CF6CC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GitHub 项目实践</w:t>
            </w:r>
          </w:p>
        </w:tc>
        <w:tc>
          <w:tcPr>
            <w:tcW w:w="1134" w:type="dxa"/>
            <w:vAlign w:val="center"/>
          </w:tcPr>
          <w:p w14:paraId="32595C4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35分</w:t>
            </w:r>
          </w:p>
        </w:tc>
        <w:tc>
          <w:tcPr>
            <w:tcW w:w="4649" w:type="dxa"/>
            <w:vAlign w:val="center"/>
          </w:tcPr>
          <w:p w14:paraId="53D9753C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开源项目数量与完成度、代码协作规范、社区影响与治理</w:t>
            </w:r>
          </w:p>
        </w:tc>
      </w:tr>
      <w:tr w14:paraId="7E33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3527E52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4063650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视频号运营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0FFDFE3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15分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084296EB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开源主题视频发布数量、累计访问（播放）量、内容质量</w:t>
            </w:r>
          </w:p>
        </w:tc>
      </w:tr>
      <w:tr w14:paraId="7BA1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C9E9C1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041" w:type="dxa"/>
            <w:vAlign w:val="center"/>
          </w:tcPr>
          <w:p w14:paraId="54A0CC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技术博客 / 公众号</w:t>
            </w:r>
          </w:p>
        </w:tc>
        <w:tc>
          <w:tcPr>
            <w:tcW w:w="1134" w:type="dxa"/>
            <w:vAlign w:val="center"/>
          </w:tcPr>
          <w:p w14:paraId="74F96C3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20分</w:t>
            </w:r>
          </w:p>
        </w:tc>
        <w:tc>
          <w:tcPr>
            <w:tcW w:w="4649" w:type="dxa"/>
            <w:vAlign w:val="center"/>
          </w:tcPr>
          <w:p w14:paraId="73CF426B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51CTO博客或公众号原创文章数、访问（阅读）量、内容质量</w:t>
            </w:r>
          </w:p>
        </w:tc>
      </w:tr>
      <w:tr w14:paraId="4D65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9A53C9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3B73393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开源认知考核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CAED5A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30分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48745B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基于课程内容的开源概念、许可证、社区治理与商业模式理解</w:t>
            </w:r>
          </w:p>
        </w:tc>
      </w:tr>
      <w:tr w14:paraId="1588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6244AD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041" w:type="dxa"/>
            <w:vAlign w:val="center"/>
          </w:tcPr>
          <w:p w14:paraId="3902CB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加分项：商业项目转化</w:t>
            </w:r>
          </w:p>
        </w:tc>
        <w:tc>
          <w:tcPr>
            <w:tcW w:w="1134" w:type="dxa"/>
            <w:vAlign w:val="center"/>
          </w:tcPr>
          <w:p w14:paraId="4E966E6F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上限10分</w:t>
            </w:r>
          </w:p>
        </w:tc>
        <w:tc>
          <w:tcPr>
            <w:tcW w:w="4649" w:type="dxa"/>
            <w:vAlign w:val="center"/>
          </w:tcPr>
          <w:p w14:paraId="512FDA0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开源项目的产品化、企业采用或商业化转化成果</w:t>
            </w:r>
          </w:p>
        </w:tc>
      </w:tr>
    </w:tbl>
    <w:p w14:paraId="2736CD8A">
      <w:pPr>
        <w:spacing w:line="360" w:lineRule="auto"/>
        <w:jc w:val="both"/>
      </w:pPr>
      <w:r>
        <w:rPr>
          <w:rFonts w:ascii="Arial" w:hAnsi="Arial" w:eastAsia="宋体"/>
          <w:b w:val="0"/>
          <w:color w:val="000000"/>
          <w:sz w:val="24"/>
        </w:rPr>
        <w:t>说明：第1—4项合计100分，构成课程基础成绩；加分项单独评定，不替代基础项，仅作加分使用。</w:t>
      </w:r>
    </w:p>
    <w:p w14:paraId="4DE1A4D7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三、各维度评分细则</w:t>
      </w:r>
    </w:p>
    <w:p w14:paraId="321CF7E8">
      <w:pPr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（一）GitHub 项目实践（35分）</w:t>
      </w:r>
    </w:p>
    <w:p w14:paraId="3BB552E3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本维度考核学生在 GitHub 平台上的真实开源实践产出，包括项目完成度、协作规范性与社区影响力三个方面。学生须在课程期间完成至少一个可公开访问的开源项目（或深度参与既有开源项目），并提供 GitHub 主页链接。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94"/>
        <w:gridCol w:w="1928"/>
        <w:gridCol w:w="1701"/>
        <w:gridCol w:w="1587"/>
        <w:gridCol w:w="1474"/>
      </w:tblGrid>
      <w:tr w14:paraId="2823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15482F1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评分要素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33D132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分值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BD18FE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优秀（满分档）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77D59A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良好（80%档）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3B84812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合格（60%档）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44669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不合格（0—40%档）</w:t>
            </w:r>
          </w:p>
        </w:tc>
      </w:tr>
      <w:tr w14:paraId="69BE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3D3600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项目完成度与文档</w:t>
            </w:r>
          </w:p>
        </w:tc>
        <w:tc>
          <w:tcPr>
            <w:tcW w:w="794" w:type="dxa"/>
            <w:vAlign w:val="center"/>
          </w:tcPr>
          <w:p w14:paraId="29525B0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15分</w:t>
            </w:r>
          </w:p>
        </w:tc>
        <w:tc>
          <w:tcPr>
            <w:tcW w:w="1928" w:type="dxa"/>
            <w:vAlign w:val="center"/>
          </w:tcPr>
          <w:p w14:paraId="579F0E1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有1个以上完整可运行项目，README、使用文档、示例齐全，有Release</w:t>
            </w:r>
          </w:p>
        </w:tc>
        <w:tc>
          <w:tcPr>
            <w:tcW w:w="1701" w:type="dxa"/>
            <w:vAlign w:val="center"/>
          </w:tcPr>
          <w:p w14:paraId="54ECDAC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有1个较完整项目，README基本完整，能运行</w:t>
            </w:r>
          </w:p>
        </w:tc>
        <w:tc>
          <w:tcPr>
            <w:tcW w:w="1587" w:type="dxa"/>
            <w:vAlign w:val="center"/>
          </w:tcPr>
          <w:p w14:paraId="6CFF287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有项目雏形，代码可运行但文档欠缺</w:t>
            </w:r>
          </w:p>
        </w:tc>
        <w:tc>
          <w:tcPr>
            <w:tcW w:w="1474" w:type="dxa"/>
            <w:vAlign w:val="center"/>
          </w:tcPr>
          <w:p w14:paraId="5302111C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无有效项目或项目不可运行</w:t>
            </w:r>
          </w:p>
        </w:tc>
      </w:tr>
      <w:tr w14:paraId="58A3E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0822183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代码协作规范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3CE0DA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10分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6BB6CB4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Commit规范、分支管理清晰，有≥3次PR/MR或Issue协作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7FC1013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有多次有效Commit，基本规范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722328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有少量提交，能完成基本功能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035129F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提交零散或非本人贡献</w:t>
            </w:r>
          </w:p>
        </w:tc>
      </w:tr>
      <w:tr w14:paraId="2491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5C58DA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社区影响与治理</w:t>
            </w:r>
          </w:p>
        </w:tc>
        <w:tc>
          <w:tcPr>
            <w:tcW w:w="794" w:type="dxa"/>
            <w:vAlign w:val="center"/>
          </w:tcPr>
          <w:p w14:paraId="6FB892D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10分</w:t>
            </w:r>
          </w:p>
        </w:tc>
        <w:tc>
          <w:tcPr>
            <w:tcW w:w="1928" w:type="dxa"/>
            <w:vAlign w:val="center"/>
          </w:tcPr>
          <w:p w14:paraId="51B35033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Star/Fork活跃，使用开源许可证，回应Issue，被他人引用或贡献</w:t>
            </w:r>
          </w:p>
        </w:tc>
        <w:tc>
          <w:tcPr>
            <w:tcW w:w="1701" w:type="dxa"/>
            <w:vAlign w:val="center"/>
          </w:tcPr>
          <w:p w14:paraId="2F41044E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有少量Star/Fork，许可证完整，有社区互动</w:t>
            </w:r>
          </w:p>
        </w:tc>
        <w:tc>
          <w:tcPr>
            <w:tcW w:w="1587" w:type="dxa"/>
            <w:vAlign w:val="center"/>
          </w:tcPr>
          <w:p w14:paraId="54FD9E43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已开源并声明许可证，互动较少</w:t>
            </w:r>
          </w:p>
        </w:tc>
        <w:tc>
          <w:tcPr>
            <w:tcW w:w="1474" w:type="dxa"/>
            <w:vAlign w:val="center"/>
          </w:tcPr>
          <w:p w14:paraId="2B45B70C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未开源或无许可证、无任何互动</w:t>
            </w:r>
          </w:p>
        </w:tc>
      </w:tr>
    </w:tbl>
    <w:p w14:paraId="71E6DF14">
      <w:pPr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（二）视频号运营（15分）</w:t>
      </w:r>
    </w:p>
    <w:p w14:paraId="1E1BDD50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本维度考核学生通过视频号传播开源知识、记录开源实践的能力。学生须在课程期间运营个人视频号并发布开源主题原创视频，以课程截止时间的后台公开数据为评分依据。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794"/>
        <w:gridCol w:w="2041"/>
        <w:gridCol w:w="1701"/>
        <w:gridCol w:w="1587"/>
        <w:gridCol w:w="1587"/>
      </w:tblGrid>
      <w:tr w14:paraId="0F4B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29ACF31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评分要素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E11B7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分值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3E49E1A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优秀（满分档）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623338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良好（80%档）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465B4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合格（60%档）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0A33A5D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不合格（0—40%档）</w:t>
            </w:r>
          </w:p>
        </w:tc>
      </w:tr>
      <w:tr w14:paraId="319D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6D7A8E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内容产出</w:t>
            </w:r>
          </w:p>
        </w:tc>
        <w:tc>
          <w:tcPr>
            <w:tcW w:w="794" w:type="dxa"/>
            <w:vAlign w:val="center"/>
          </w:tcPr>
          <w:p w14:paraId="5737BC7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6分</w:t>
            </w:r>
          </w:p>
        </w:tc>
        <w:tc>
          <w:tcPr>
            <w:tcW w:w="2041" w:type="dxa"/>
            <w:vAlign w:val="center"/>
          </w:tcPr>
          <w:p w14:paraId="5C427FED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原创视频≥8条，主题聚焦开源，更新稳定</w:t>
            </w:r>
          </w:p>
        </w:tc>
        <w:tc>
          <w:tcPr>
            <w:tcW w:w="1701" w:type="dxa"/>
            <w:vAlign w:val="center"/>
          </w:tcPr>
          <w:p w14:paraId="5F58B8C8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原创视频5—7条，主题相关</w:t>
            </w:r>
          </w:p>
        </w:tc>
        <w:tc>
          <w:tcPr>
            <w:tcW w:w="1587" w:type="dxa"/>
            <w:vAlign w:val="center"/>
          </w:tcPr>
          <w:p w14:paraId="739C1EE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原创视频3—4条</w:t>
            </w:r>
          </w:p>
        </w:tc>
        <w:tc>
          <w:tcPr>
            <w:tcW w:w="1587" w:type="dxa"/>
            <w:vAlign w:val="center"/>
          </w:tcPr>
          <w:p w14:paraId="1D1128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原创视频≤2条或与开源无关</w:t>
            </w:r>
          </w:p>
        </w:tc>
      </w:tr>
      <w:tr w14:paraId="65FB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6AD5360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传播数据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6997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6分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11F13F5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累计播放（访问）量≥5000，点赞/转发/评论活跃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867DB3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累计播放量2000—4999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3FA1F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累计播放量500—1999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2607A7A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累计播放量＜500</w:t>
            </w:r>
          </w:p>
        </w:tc>
      </w:tr>
      <w:tr w14:paraId="22C9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EC8508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内容质量</w:t>
            </w:r>
          </w:p>
        </w:tc>
        <w:tc>
          <w:tcPr>
            <w:tcW w:w="794" w:type="dxa"/>
            <w:vAlign w:val="center"/>
          </w:tcPr>
          <w:p w14:paraId="221BBF4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3分</w:t>
            </w:r>
          </w:p>
        </w:tc>
        <w:tc>
          <w:tcPr>
            <w:tcW w:w="2041" w:type="dxa"/>
            <w:vAlign w:val="center"/>
          </w:tcPr>
          <w:p w14:paraId="226620FB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讲解清晰、制作精良，能准确传播开源知识</w:t>
            </w:r>
          </w:p>
        </w:tc>
        <w:tc>
          <w:tcPr>
            <w:tcW w:w="1701" w:type="dxa"/>
            <w:vAlign w:val="center"/>
          </w:tcPr>
          <w:p w14:paraId="0CEB259A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讲解较清晰，内容准确</w:t>
            </w:r>
          </w:p>
        </w:tc>
        <w:tc>
          <w:tcPr>
            <w:tcW w:w="1587" w:type="dxa"/>
            <w:vAlign w:val="center"/>
          </w:tcPr>
          <w:p w14:paraId="3072AC7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基本完成讲解，偶有偏差</w:t>
            </w:r>
          </w:p>
        </w:tc>
        <w:tc>
          <w:tcPr>
            <w:tcW w:w="1587" w:type="dxa"/>
            <w:vAlign w:val="center"/>
          </w:tcPr>
          <w:p w14:paraId="1F38A0C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内容粗糙或存在事实错误</w:t>
            </w:r>
          </w:p>
        </w:tc>
      </w:tr>
    </w:tbl>
    <w:p w14:paraId="15FB97EA">
      <w:pPr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（三）技术博客 / 公众号（20分）</w:t>
      </w:r>
    </w:p>
    <w:p w14:paraId="2CB6ED10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本维度考核学生通过文字渠道沉淀开源学习与实践成果的能力，可选51CTO博客或微信公众号其一作为主阵地，二者可叠加取较高分，不重复计分。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794"/>
        <w:gridCol w:w="2041"/>
        <w:gridCol w:w="1701"/>
        <w:gridCol w:w="1587"/>
        <w:gridCol w:w="1587"/>
      </w:tblGrid>
      <w:tr w14:paraId="5CD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6A4E8A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评分要素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A836A8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分值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71352AC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优秀（满分档）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7642C8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良好（80%档）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1B26600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合格（60%档）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06D150D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不合格（0—40%档）</w:t>
            </w:r>
          </w:p>
        </w:tc>
      </w:tr>
      <w:tr w14:paraId="32FD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7AA72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原创文章数量</w:t>
            </w:r>
          </w:p>
        </w:tc>
        <w:tc>
          <w:tcPr>
            <w:tcW w:w="794" w:type="dxa"/>
            <w:vAlign w:val="center"/>
          </w:tcPr>
          <w:p w14:paraId="4CA603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8分</w:t>
            </w:r>
          </w:p>
        </w:tc>
        <w:tc>
          <w:tcPr>
            <w:tcW w:w="2041" w:type="dxa"/>
            <w:vAlign w:val="center"/>
          </w:tcPr>
          <w:p w14:paraId="4548988F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原创文章≥8篇，围绕开源主题</w:t>
            </w:r>
          </w:p>
        </w:tc>
        <w:tc>
          <w:tcPr>
            <w:tcW w:w="1701" w:type="dxa"/>
            <w:vAlign w:val="center"/>
          </w:tcPr>
          <w:p w14:paraId="4C047F4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原创文章5—7篇</w:t>
            </w:r>
          </w:p>
        </w:tc>
        <w:tc>
          <w:tcPr>
            <w:tcW w:w="1587" w:type="dxa"/>
            <w:vAlign w:val="center"/>
          </w:tcPr>
          <w:p w14:paraId="2891159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原创文章3—4篇</w:t>
            </w:r>
          </w:p>
        </w:tc>
        <w:tc>
          <w:tcPr>
            <w:tcW w:w="1587" w:type="dxa"/>
            <w:vAlign w:val="center"/>
          </w:tcPr>
          <w:p w14:paraId="605AC5FC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原创文章≤2篇或非原创</w:t>
            </w:r>
          </w:p>
        </w:tc>
      </w:tr>
      <w:tr w14:paraId="3E1F3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0C5EB95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访问（阅读）量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883613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7分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304AF3D7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累计访问量≥5000，单篇有传播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D8EB8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累计访问量2000—4999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DA3DEC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累计访问量500—1999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0C4C7A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累计访问量＜500</w:t>
            </w:r>
          </w:p>
        </w:tc>
      </w:tr>
      <w:tr w14:paraId="64D3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4EBA35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内容质量</w:t>
            </w:r>
          </w:p>
        </w:tc>
        <w:tc>
          <w:tcPr>
            <w:tcW w:w="794" w:type="dxa"/>
            <w:vAlign w:val="center"/>
          </w:tcPr>
          <w:p w14:paraId="462DD38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5分</w:t>
            </w:r>
          </w:p>
        </w:tc>
        <w:tc>
          <w:tcPr>
            <w:tcW w:w="2041" w:type="dxa"/>
            <w:vAlign w:val="center"/>
          </w:tcPr>
          <w:p w14:paraId="7370FB6E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原创性强、有技术深度，结构清晰</w:t>
            </w:r>
          </w:p>
        </w:tc>
        <w:tc>
          <w:tcPr>
            <w:tcW w:w="1701" w:type="dxa"/>
            <w:vAlign w:val="center"/>
          </w:tcPr>
          <w:p w14:paraId="32FC9255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有一定深度，结构较完整</w:t>
            </w:r>
          </w:p>
        </w:tc>
        <w:tc>
          <w:tcPr>
            <w:tcW w:w="1587" w:type="dxa"/>
            <w:vAlign w:val="center"/>
          </w:tcPr>
          <w:p w14:paraId="552FD127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基本完成记录，深度一般</w:t>
            </w:r>
          </w:p>
        </w:tc>
        <w:tc>
          <w:tcPr>
            <w:tcW w:w="1587" w:type="dxa"/>
            <w:vAlign w:val="center"/>
          </w:tcPr>
          <w:p w14:paraId="2E06B17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抄袭或内容空洞</w:t>
            </w:r>
          </w:p>
        </w:tc>
      </w:tr>
    </w:tbl>
    <w:p w14:paraId="1B0D38EC">
      <w:pPr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（四）开源认知考核（30分）</w:t>
      </w:r>
    </w:p>
    <w:p w14:paraId="2C30CD21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本维度基于课程教学内容，通过结课报告或现场答辩方式，考查学生对开源核心理念的理解深度与思辨能力。报告须结合自身 GitHub、视频号、博客实践展开，避免空泛摘抄。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907"/>
        <w:gridCol w:w="5556"/>
      </w:tblGrid>
      <w:tr w14:paraId="05B7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667BF8D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评分要素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2913B4A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分值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64FD2D2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考核要点</w:t>
            </w:r>
          </w:p>
        </w:tc>
      </w:tr>
      <w:tr w14:paraId="26DB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52FC5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开源概念与历史脉络</w:t>
            </w:r>
          </w:p>
        </w:tc>
        <w:tc>
          <w:tcPr>
            <w:tcW w:w="907" w:type="dxa"/>
            <w:vAlign w:val="center"/>
          </w:tcPr>
          <w:p w14:paraId="4B0429D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6分</w:t>
            </w:r>
          </w:p>
        </w:tc>
        <w:tc>
          <w:tcPr>
            <w:tcW w:w="5556" w:type="dxa"/>
            <w:vAlign w:val="center"/>
          </w:tcPr>
          <w:p w14:paraId="20FD80C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能说清开源的定义、发展历程、与自由软件/源码可见的区别</w:t>
            </w:r>
          </w:p>
        </w:tc>
      </w:tr>
      <w:tr w14:paraId="2F88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5881907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开源许可证与合规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0383E7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8分</w:t>
            </w:r>
          </w:p>
        </w:tc>
        <w:tc>
          <w:tcPr>
            <w:tcW w:w="5556" w:type="dxa"/>
            <w:shd w:val="clear" w:color="auto" w:fill="F2F2F2"/>
            <w:vAlign w:val="center"/>
          </w:tcPr>
          <w:p w14:paraId="4163991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理解MIT、Apache、GPL等常见许可证差异，能为所选项目选择并说明许可证</w:t>
            </w:r>
          </w:p>
        </w:tc>
      </w:tr>
      <w:tr w14:paraId="5928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38B059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开源社区治理与协作</w:t>
            </w:r>
          </w:p>
        </w:tc>
        <w:tc>
          <w:tcPr>
            <w:tcW w:w="907" w:type="dxa"/>
            <w:vAlign w:val="center"/>
          </w:tcPr>
          <w:p w14:paraId="35BC873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8分</w:t>
            </w:r>
          </w:p>
        </w:tc>
        <w:tc>
          <w:tcPr>
            <w:tcW w:w="5556" w:type="dxa"/>
            <w:vAlign w:val="center"/>
          </w:tcPr>
          <w:p w14:paraId="2BAF4B0D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理解社区角色、贡献流程、Issue/PR机制、决策与治理模式</w:t>
            </w:r>
          </w:p>
        </w:tc>
      </w:tr>
      <w:tr w14:paraId="481B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102A12C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开源商业模式与创新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81BEB3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8分</w:t>
            </w:r>
          </w:p>
        </w:tc>
        <w:tc>
          <w:tcPr>
            <w:tcW w:w="5556" w:type="dxa"/>
            <w:shd w:val="clear" w:color="auto" w:fill="F2F2F2"/>
            <w:vAlign w:val="center"/>
          </w:tcPr>
          <w:p w14:paraId="184076F8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理解开源变现路径（服务、双授权、SaaS、生态等），能结合实践提出创新思考</w:t>
            </w:r>
          </w:p>
        </w:tc>
      </w:tr>
    </w:tbl>
    <w:p w14:paraId="1DF2157A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四、加分项：商业项目转化（上限10分）</w:t>
      </w:r>
    </w:p>
    <w:p w14:paraId="4402CF9C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鼓励学生将开源实践与真实市场需求结合，对完成开源项目商业转化的学生给予加分。须提供可核验的转化证明（合同、付费用户、企业采购单、投资协议、落地部署证明等）。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07"/>
        <w:gridCol w:w="6576"/>
      </w:tblGrid>
      <w:tr w14:paraId="78D6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7FA1F40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等级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3ED4C13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加分</w:t>
            </w:r>
          </w:p>
        </w:tc>
        <w:tc>
          <w:tcPr>
            <w:tcW w:w="6576" w:type="dxa"/>
            <w:shd w:val="clear" w:color="auto" w:fill="D9D9D9"/>
            <w:vAlign w:val="center"/>
          </w:tcPr>
          <w:p w14:paraId="1C57CCE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认定标准</w:t>
            </w:r>
          </w:p>
        </w:tc>
      </w:tr>
      <w:tr w14:paraId="17D6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AE68F9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一档</w:t>
            </w:r>
          </w:p>
        </w:tc>
        <w:tc>
          <w:tcPr>
            <w:tcW w:w="907" w:type="dxa"/>
            <w:vAlign w:val="center"/>
          </w:tcPr>
          <w:p w14:paraId="5F6A94F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10分</w:t>
            </w:r>
          </w:p>
        </w:tc>
        <w:tc>
          <w:tcPr>
            <w:tcW w:w="6576" w:type="dxa"/>
            <w:vAlign w:val="center"/>
          </w:tcPr>
          <w:p w14:paraId="5AB6DF7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开源项目实现实质性商业转化：签订商业合同、获得付费用户/收入、被企业正式采购或部署，或获得天使及以上投资</w:t>
            </w:r>
          </w:p>
        </w:tc>
      </w:tr>
      <w:tr w14:paraId="08D7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B2945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二档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169BCB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6分</w:t>
            </w:r>
          </w:p>
        </w:tc>
        <w:tc>
          <w:tcPr>
            <w:tcW w:w="6576" w:type="dxa"/>
            <w:shd w:val="clear" w:color="auto" w:fill="F2F2F2"/>
            <w:vAlign w:val="center"/>
          </w:tcPr>
          <w:p w14:paraId="49FD0D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已有明确商业化原型或试点：与企业达成合作意向、完成付费试点、形成可演示的产品化版本</w:t>
            </w:r>
          </w:p>
        </w:tc>
      </w:tr>
      <w:tr w14:paraId="2F93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75EF9B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三档</w:t>
            </w:r>
          </w:p>
        </w:tc>
        <w:tc>
          <w:tcPr>
            <w:tcW w:w="907" w:type="dxa"/>
            <w:vAlign w:val="center"/>
          </w:tcPr>
          <w:p w14:paraId="1D30784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3分</w:t>
            </w:r>
          </w:p>
        </w:tc>
        <w:tc>
          <w:tcPr>
            <w:tcW w:w="6576" w:type="dxa"/>
            <w:vAlign w:val="center"/>
          </w:tcPr>
          <w:p w14:paraId="4BB91075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形成较完整的商业计划书、转化方案或路演材料，具备转化路径设计</w:t>
            </w:r>
          </w:p>
        </w:tc>
      </w:tr>
      <w:tr w14:paraId="0485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BA976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8CDEED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0分</w:t>
            </w:r>
          </w:p>
        </w:tc>
        <w:tc>
          <w:tcPr>
            <w:tcW w:w="6576" w:type="dxa"/>
            <w:shd w:val="clear" w:color="auto" w:fill="F2F2F2"/>
            <w:vAlign w:val="center"/>
          </w:tcPr>
          <w:p w14:paraId="15D947CA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无任何商业转化相关成果</w:t>
            </w:r>
          </w:p>
        </w:tc>
      </w:tr>
    </w:tbl>
    <w:p w14:paraId="57A52A38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五、成绩等级与总评规则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134"/>
        <w:gridCol w:w="5783"/>
      </w:tblGrid>
      <w:tr w14:paraId="210A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22575B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总分区间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03C51C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等级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7452D1A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</w:tr>
      <w:tr w14:paraId="2077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0E1B73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90—100分</w:t>
            </w:r>
          </w:p>
        </w:tc>
        <w:tc>
          <w:tcPr>
            <w:tcW w:w="1134" w:type="dxa"/>
            <w:vAlign w:val="center"/>
          </w:tcPr>
          <w:p w14:paraId="635D18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优秀</w:t>
            </w:r>
          </w:p>
        </w:tc>
        <w:tc>
          <w:tcPr>
            <w:tcW w:w="5783" w:type="dxa"/>
            <w:vAlign w:val="center"/>
          </w:tcPr>
          <w:p w14:paraId="12CB2DE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实践产出突出，传播数据良好，开源认知深刻，加分项可优先评优</w:t>
            </w:r>
          </w:p>
        </w:tc>
      </w:tr>
      <w:tr w14:paraId="5515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7376828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80—89分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0667BE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良好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4300461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完成全部实践要求，数据较好，对开源有较系统理解</w:t>
            </w:r>
          </w:p>
        </w:tc>
      </w:tr>
      <w:tr w14:paraId="51CE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66DA8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70—79分</w:t>
            </w:r>
          </w:p>
        </w:tc>
        <w:tc>
          <w:tcPr>
            <w:tcW w:w="1134" w:type="dxa"/>
            <w:vAlign w:val="center"/>
          </w:tcPr>
          <w:p w14:paraId="3B59963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w="5783" w:type="dxa"/>
            <w:vAlign w:val="center"/>
          </w:tcPr>
          <w:p w14:paraId="7FD200C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基本完成各项实践，数据达标，理解一般</w:t>
            </w:r>
          </w:p>
        </w:tc>
      </w:tr>
      <w:tr w14:paraId="7BBF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575D8ED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60—69分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99BACE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及格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7FFC4B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勉强达到最低要求，实践或认知存在明显欠缺</w:t>
            </w:r>
          </w:p>
        </w:tc>
      </w:tr>
      <w:tr w14:paraId="7751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5F4CF2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60分以下</w:t>
            </w:r>
          </w:p>
        </w:tc>
        <w:tc>
          <w:tcPr>
            <w:tcW w:w="1134" w:type="dxa"/>
            <w:vAlign w:val="center"/>
          </w:tcPr>
          <w:p w14:paraId="1588953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不及格</w:t>
            </w:r>
          </w:p>
        </w:tc>
        <w:tc>
          <w:tcPr>
            <w:tcW w:w="5783" w:type="dxa"/>
            <w:vAlign w:val="center"/>
          </w:tcPr>
          <w:p w14:paraId="34D95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关键维度未完成，或存在刷量、抄袭、代写等不端行为</w:t>
            </w:r>
          </w:p>
        </w:tc>
      </w:tr>
    </w:tbl>
    <w:p w14:paraId="0652FCB1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总评说明：四项基础维度相加为课程总成绩（满分100分）；加分项计入后若超过100分，按100分记录，超出部分用于优秀评定与同分排序。数据造假、抄袭、代写者，对应维度按0分计，情节严重者总成绩直接判定为不及格。</w:t>
      </w:r>
    </w:p>
    <w:p w14:paraId="279163E8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六、材料提交与核验要求</w:t>
      </w:r>
    </w:p>
    <w:p w14:paraId="420C01CD">
      <w:pPr>
        <w:spacing w:line="360" w:lineRule="auto"/>
        <w:jc w:val="both"/>
      </w:pPr>
      <w:r>
        <w:rPr>
          <w:rFonts w:ascii="Arial" w:hAnsi="Arial" w:eastAsia="宋体"/>
          <w:b w:val="0"/>
          <w:color w:val="000000"/>
          <w:sz w:val="24"/>
        </w:rPr>
        <w:t>1．学生须于课程结束后规定时间内，提交一份《开源创新思维课程成果汇总表》，附 GitHub 主页、视频号主页、博客/公众号主页链接及课程截止时间的数据截图（含项目列表、Commit记录、播放量、阅读量、文章数等）。</w:t>
      </w:r>
    </w:p>
    <w:p w14:paraId="128B5DB5">
      <w:pPr>
        <w:spacing w:line="360" w:lineRule="auto"/>
        <w:jc w:val="both"/>
      </w:pPr>
      <w:r>
        <w:rPr>
          <w:rFonts w:ascii="Arial" w:hAnsi="Arial" w:eastAsia="宋体"/>
          <w:b w:val="0"/>
          <w:color w:val="000000"/>
          <w:sz w:val="24"/>
        </w:rPr>
        <w:t>2．开源认知报告以 Word/PDF 格式提交，篇幅与格式要求由课程组在结课前另行通知；鼓励以现场答辩形式进行考核。</w:t>
      </w:r>
    </w:p>
    <w:p w14:paraId="536ACB9B">
      <w:pPr>
        <w:spacing w:line="360" w:lineRule="auto"/>
        <w:jc w:val="both"/>
      </w:pPr>
      <w:r>
        <w:rPr>
          <w:rFonts w:ascii="Arial" w:hAnsi="Arial" w:eastAsia="宋体"/>
          <w:b w:val="0"/>
          <w:color w:val="000000"/>
          <w:sz w:val="24"/>
        </w:rPr>
        <w:t>3．商业项目转化加分须同时提交证明材料扫描件或链接，由课程组核验后认定。</w:t>
      </w:r>
    </w:p>
    <w:p w14:paraId="66B5939C">
      <w:pPr>
        <w:spacing w:line="360" w:lineRule="auto"/>
        <w:jc w:val="both"/>
      </w:pPr>
      <w:r>
        <w:rPr>
          <w:rFonts w:ascii="Arial" w:hAnsi="Arial" w:eastAsia="宋体"/>
          <w:b w:val="0"/>
          <w:color w:val="000000"/>
          <w:sz w:val="24"/>
        </w:rPr>
        <w:t>4．所有数据以课程统一截止时间为准，截止后不再补录；逾期未提交材料的维度按0分计。</w:t>
      </w:r>
    </w:p>
    <w:p w14:paraId="474F834A">
      <w:pPr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七、附则</w:t>
      </w:r>
    </w:p>
    <w:p w14:paraId="5D1FCC1B"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本标准由《开源创新思维》课程组负责解释与修订。各量化分档阈值可由课程组根据课程实际情况在开课前统一调整，并在第一周向学生公布。未尽事宜，由课程组另行通知。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A2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881</Words>
  <Characters>989</Characters>
  <Lines>0</Lines>
  <Paragraphs>0</Paragraphs>
  <TotalTime>0</TotalTime>
  <ScaleCrop>false</ScaleCrop>
  <LinksUpToDate>false</LinksUpToDate>
  <CharactersWithSpaces>997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依帆临水</cp:lastModifiedBy>
  <dcterms:modified xsi:type="dcterms:W3CDTF">2026-09-17T04:23:11Z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65BE66E32A034E99B41C9620F2851548_13</vt:lpwstr>
  </property>
</Properties>
</file>