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1750BC">
      <w:pPr>
        <w:rPr>
          <w:rFonts w:ascii="仿宋_GB2312" w:eastAsia="仿宋_GB2312"/>
          <w:b/>
          <w:bCs/>
          <w:sz w:val="72"/>
          <w:szCs w:val="72"/>
        </w:rPr>
      </w:pPr>
      <w:r>
        <w:rPr>
          <w:rFonts w:hint="eastAsia" w:ascii="仿宋_GB2312" w:eastAsia="仿宋_GB2312" w:cs="仿宋_GB2312"/>
          <w:b/>
          <w:bCs/>
          <w:sz w:val="28"/>
          <w:szCs w:val="28"/>
        </w:rPr>
        <w:t>课程编号：</w:t>
      </w:r>
    </w:p>
    <w:p w14:paraId="7D6D5C7C">
      <w:pPr>
        <w:jc w:val="center"/>
        <w:rPr>
          <w:rFonts w:hint="eastAsia" w:ascii="仿宋_GB2312" w:eastAsia="仿宋_GB2312" w:cs="仿宋_GB2312"/>
          <w:b/>
          <w:bCs/>
          <w:sz w:val="72"/>
          <w:szCs w:val="72"/>
        </w:rPr>
      </w:pPr>
    </w:p>
    <w:p w14:paraId="7DF653E0">
      <w:pPr>
        <w:jc w:val="center"/>
        <w:rPr>
          <w:rFonts w:hint="eastAsia" w:ascii="仿宋_GB2312" w:eastAsia="仿宋_GB2312" w:cs="仿宋_GB2312"/>
          <w:b/>
          <w:bCs/>
          <w:sz w:val="72"/>
          <w:szCs w:val="72"/>
        </w:rPr>
      </w:pPr>
    </w:p>
    <w:p w14:paraId="0F811DC8">
      <w:pPr>
        <w:jc w:val="center"/>
        <w:rPr>
          <w:rFonts w:hint="default" w:ascii="仿宋_GB2312" w:eastAsia="仿宋_GB2312"/>
          <w:b/>
          <w:bCs/>
          <w:sz w:val="72"/>
          <w:szCs w:val="72"/>
          <w:lang w:val="en-US" w:eastAsia="zh-CN"/>
        </w:rPr>
      </w:pPr>
      <w:r>
        <w:rPr>
          <w:rFonts w:hint="eastAsia" w:ascii="仿宋_GB2312" w:eastAsia="仿宋_GB2312" w:cs="仿宋_GB2312"/>
          <w:b/>
          <w:bCs/>
          <w:sz w:val="72"/>
          <w:szCs w:val="72"/>
          <w:lang w:eastAsia="zh-CN"/>
        </w:rPr>
        <w:t>《</w:t>
      </w:r>
      <w:r>
        <w:rPr>
          <w:rFonts w:hint="eastAsia" w:ascii="仿宋_GB2312" w:eastAsia="仿宋_GB2312" w:cs="仿宋_GB2312"/>
          <w:b/>
          <w:bCs/>
          <w:sz w:val="72"/>
          <w:szCs w:val="72"/>
        </w:rPr>
        <w:t>开源</w:t>
      </w:r>
      <w:r>
        <w:rPr>
          <w:rFonts w:hint="eastAsia" w:ascii="仿宋_GB2312" w:eastAsia="仿宋_GB2312" w:cs="仿宋_GB2312"/>
          <w:b/>
          <w:bCs/>
          <w:sz w:val="72"/>
          <w:szCs w:val="72"/>
          <w:lang w:val="en-US" w:eastAsia="zh-CN"/>
        </w:rPr>
        <w:t>创新思维》</w:t>
      </w:r>
    </w:p>
    <w:p w14:paraId="67604145">
      <w:pPr>
        <w:jc w:val="center"/>
        <w:rPr>
          <w:rFonts w:ascii="仿宋_GB2312" w:eastAsia="仿宋_GB2312"/>
          <w:b/>
          <w:bCs/>
          <w:sz w:val="72"/>
          <w:szCs w:val="72"/>
        </w:rPr>
      </w:pPr>
      <w:r>
        <w:rPr>
          <w:rFonts w:hint="eastAsia" w:ascii="仿宋_GB2312" w:eastAsia="仿宋_GB2312" w:cs="仿宋_GB2312"/>
          <w:b/>
          <w:bCs/>
          <w:sz w:val="72"/>
          <w:szCs w:val="72"/>
        </w:rPr>
        <w:t>平时作业报告</w:t>
      </w:r>
    </w:p>
    <w:p w14:paraId="72B4D612">
      <w:pPr>
        <w:jc w:val="center"/>
        <w:rPr>
          <w:rFonts w:ascii="仿宋_GB2312" w:eastAsia="仿宋_GB2312"/>
          <w:b/>
          <w:bCs/>
          <w:sz w:val="52"/>
          <w:szCs w:val="52"/>
        </w:rPr>
      </w:pPr>
    </w:p>
    <w:p w14:paraId="1E8560DC">
      <w:pPr>
        <w:jc w:val="center"/>
        <w:rPr>
          <w:rFonts w:ascii="宋体"/>
          <w:sz w:val="28"/>
          <w:szCs w:val="28"/>
        </w:rPr>
      </w:pPr>
    </w:p>
    <w:p w14:paraId="1E615644">
      <w:pPr>
        <w:jc w:val="center"/>
        <w:rPr>
          <w:rFonts w:ascii="宋体"/>
          <w:sz w:val="28"/>
          <w:szCs w:val="28"/>
        </w:rPr>
      </w:pPr>
    </w:p>
    <w:p w14:paraId="27E03F4E">
      <w:pPr>
        <w:jc w:val="center"/>
        <w:rPr>
          <w:rFonts w:ascii="宋体"/>
          <w:sz w:val="28"/>
          <w:szCs w:val="28"/>
        </w:rPr>
      </w:pPr>
    </w:p>
    <w:p w14:paraId="0CE85110">
      <w:pPr>
        <w:jc w:val="center"/>
        <w:rPr>
          <w:rFonts w:ascii="宋体"/>
          <w:sz w:val="28"/>
          <w:szCs w:val="28"/>
        </w:rPr>
      </w:pPr>
    </w:p>
    <w:p w14:paraId="1C97CF4E">
      <w:pPr>
        <w:jc w:val="center"/>
        <w:rPr>
          <w:rFonts w:ascii="宋体"/>
          <w:sz w:val="28"/>
          <w:szCs w:val="28"/>
        </w:rPr>
      </w:pPr>
    </w:p>
    <w:p w14:paraId="7DE1962F">
      <w:pPr>
        <w:rPr>
          <w:rFonts w:ascii="仿宋_GB2312" w:eastAsia="仿宋_GB2312"/>
        </w:rPr>
      </w:pPr>
    </w:p>
    <w:p w14:paraId="08818189">
      <w:pPr>
        <w:rPr>
          <w:rFonts w:ascii="仿宋_GB2312" w:eastAsia="仿宋_GB2312"/>
        </w:rPr>
      </w:pPr>
    </w:p>
    <w:p w14:paraId="6B531FE3">
      <w:pPr>
        <w:rPr>
          <w:rFonts w:ascii="仿宋_GB2312" w:eastAsia="仿宋_GB2312"/>
        </w:rPr>
      </w:pPr>
    </w:p>
    <w:p w14:paraId="6EFB2D5D">
      <w:pPr>
        <w:rPr>
          <w:rFonts w:ascii="仿宋_GB2312" w:eastAsia="仿宋_GB2312"/>
        </w:rPr>
      </w:pPr>
    </w:p>
    <w:tbl>
      <w:tblPr>
        <w:tblStyle w:val="8"/>
        <w:tblW w:w="79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1"/>
        <w:gridCol w:w="1594"/>
        <w:gridCol w:w="56"/>
        <w:gridCol w:w="2145"/>
        <w:gridCol w:w="2183"/>
      </w:tblGrid>
      <w:tr w14:paraId="04EF7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35084A30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姓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    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名</w:t>
            </w:r>
          </w:p>
        </w:tc>
        <w:tc>
          <w:tcPr>
            <w:tcW w:w="1594" w:type="dxa"/>
            <w:vAlign w:val="center"/>
          </w:tcPr>
          <w:p w14:paraId="1A12E197">
            <w:pPr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张诗卉</w:t>
            </w:r>
          </w:p>
        </w:tc>
        <w:tc>
          <w:tcPr>
            <w:tcW w:w="2201" w:type="dxa"/>
            <w:gridSpan w:val="2"/>
            <w:vAlign w:val="center"/>
          </w:tcPr>
          <w:p w14:paraId="616522A3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30"/>
                <w:kern w:val="0"/>
                <w:sz w:val="24"/>
                <w:szCs w:val="24"/>
              </w:rPr>
              <w:t>学</w:t>
            </w:r>
            <w:r>
              <w:rPr>
                <w:rFonts w:ascii="仿宋" w:hAnsi="仿宋" w:eastAsia="仿宋" w:cs="仿宋"/>
                <w:b/>
                <w:bCs/>
                <w:spacing w:val="30"/>
                <w:kern w:val="0"/>
                <w:sz w:val="24"/>
                <w:szCs w:val="24"/>
              </w:rPr>
              <w:t xml:space="preserve">       </w:t>
            </w:r>
            <w:r>
              <w:rPr>
                <w:rFonts w:hint="eastAsia" w:ascii="仿宋" w:hAnsi="仿宋" w:eastAsia="仿宋" w:cs="仿宋"/>
                <w:b/>
                <w:bCs/>
                <w:spacing w:val="45"/>
                <w:kern w:val="0"/>
                <w:sz w:val="24"/>
                <w:szCs w:val="24"/>
              </w:rPr>
              <w:t>号</w:t>
            </w:r>
          </w:p>
        </w:tc>
        <w:tc>
          <w:tcPr>
            <w:tcW w:w="2183" w:type="dxa"/>
            <w:vAlign w:val="center"/>
          </w:tcPr>
          <w:p w14:paraId="7FEEBDAC">
            <w:pPr>
              <w:jc w:val="center"/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F25015116</w:t>
            </w:r>
          </w:p>
        </w:tc>
      </w:tr>
      <w:tr w14:paraId="66C5B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719C5919">
            <w:pPr>
              <w:wordWrap w:val="0"/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班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    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级</w:t>
            </w:r>
          </w:p>
        </w:tc>
        <w:tc>
          <w:tcPr>
            <w:tcW w:w="1594" w:type="dxa"/>
            <w:vAlign w:val="center"/>
          </w:tcPr>
          <w:p w14:paraId="1612FE55">
            <w:pPr>
              <w:jc w:val="center"/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F250118</w:t>
            </w:r>
          </w:p>
        </w:tc>
        <w:tc>
          <w:tcPr>
            <w:tcW w:w="2201" w:type="dxa"/>
            <w:gridSpan w:val="2"/>
            <w:vAlign w:val="center"/>
          </w:tcPr>
          <w:p w14:paraId="71B3CC3B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>指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>导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>教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1"/>
                <w:kern w:val="0"/>
                <w:sz w:val="24"/>
                <w:szCs w:val="24"/>
              </w:rPr>
              <w:t>师</w:t>
            </w:r>
          </w:p>
        </w:tc>
        <w:tc>
          <w:tcPr>
            <w:tcW w:w="2183" w:type="dxa"/>
            <w:vAlign w:val="center"/>
          </w:tcPr>
          <w:p w14:paraId="19AEECF8">
            <w:pPr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祝欣蓉</w:t>
            </w:r>
          </w:p>
        </w:tc>
      </w:tr>
      <w:tr w14:paraId="42BD8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961" w:type="dxa"/>
            <w:vAlign w:val="center"/>
          </w:tcPr>
          <w:p w14:paraId="49391E54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开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设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学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期</w:t>
            </w:r>
          </w:p>
        </w:tc>
        <w:tc>
          <w:tcPr>
            <w:tcW w:w="5978" w:type="dxa"/>
            <w:gridSpan w:val="4"/>
            <w:vAlign w:val="center"/>
          </w:tcPr>
          <w:p w14:paraId="2F4D4785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20</w:t>
            </w:r>
            <w:r>
              <w:rPr>
                <w:rFonts w:hint="eastAsia"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  <w:lang w:val="en-US" w:eastAsia="zh-CN"/>
              </w:rPr>
              <w:t>26</w:t>
            </w:r>
            <w:r>
              <w:rPr>
                <w:rFonts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-20</w:t>
            </w:r>
            <w:r>
              <w:rPr>
                <w:rFonts w:hint="eastAsia"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  <w:lang w:val="en-US" w:eastAsia="zh-CN"/>
              </w:rPr>
              <w:t>27</w:t>
            </w:r>
            <w:r>
              <w:rPr>
                <w:rFonts w:hint="eastAsia"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秋季学</w:t>
            </w:r>
            <w:r>
              <w:rPr>
                <w:rFonts w:hint="eastAsia" w:ascii="仿宋" w:hAnsi="仿宋" w:eastAsia="仿宋" w:cs="仿宋"/>
                <w:b/>
                <w:bCs/>
                <w:spacing w:val="0"/>
                <w:kern w:val="0"/>
                <w:sz w:val="24"/>
                <w:szCs w:val="24"/>
                <w:fitText w:val="2892" w:id="1715366501"/>
              </w:rPr>
              <w:t>期</w:t>
            </w:r>
          </w:p>
        </w:tc>
      </w:tr>
      <w:tr w14:paraId="3CAFD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7CBDA2F8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开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设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时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间</w:t>
            </w:r>
          </w:p>
        </w:tc>
        <w:tc>
          <w:tcPr>
            <w:tcW w:w="5978" w:type="dxa"/>
            <w:gridSpan w:val="4"/>
            <w:vAlign w:val="center"/>
          </w:tcPr>
          <w:p w14:paraId="1221FB3C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第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周</w:t>
            </w:r>
            <w:r>
              <w:rPr>
                <w:rFonts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——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第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  <w:lang w:val="en-US" w:eastAsia="zh-CN"/>
              </w:rPr>
              <w:t>16</w:t>
            </w:r>
            <w:r>
              <w:rPr>
                <w:rFonts w:hint="eastAsia" w:ascii="仿宋" w:hAnsi="仿宋" w:eastAsia="仿宋" w:cs="仿宋"/>
                <w:b/>
                <w:bCs/>
                <w:spacing w:val="3"/>
                <w:kern w:val="0"/>
                <w:sz w:val="24"/>
                <w:szCs w:val="24"/>
                <w:fitText w:val="2892" w:id="1"/>
              </w:rPr>
              <w:t>周</w:t>
            </w:r>
          </w:p>
        </w:tc>
      </w:tr>
      <w:tr w14:paraId="51E73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961" w:type="dxa"/>
            <w:vAlign w:val="center"/>
          </w:tcPr>
          <w:p w14:paraId="4127BB84">
            <w:pPr>
              <w:wordWrap w:val="0"/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报告日期</w:t>
            </w:r>
          </w:p>
        </w:tc>
        <w:tc>
          <w:tcPr>
            <w:tcW w:w="5978" w:type="dxa"/>
            <w:gridSpan w:val="4"/>
            <w:vAlign w:val="center"/>
          </w:tcPr>
          <w:p w14:paraId="2C519C55">
            <w:pPr>
              <w:jc w:val="center"/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2026.10.11</w:t>
            </w:r>
          </w:p>
        </w:tc>
      </w:tr>
      <w:tr w14:paraId="4D61B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atLeast"/>
          <w:jc w:val="center"/>
        </w:trPr>
        <w:tc>
          <w:tcPr>
            <w:tcW w:w="1961" w:type="dxa"/>
            <w:vMerge w:val="restart"/>
            <w:vAlign w:val="center"/>
          </w:tcPr>
          <w:p w14:paraId="2E95CE6D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评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定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成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绩</w:t>
            </w:r>
          </w:p>
        </w:tc>
        <w:tc>
          <w:tcPr>
            <w:tcW w:w="1650" w:type="dxa"/>
            <w:gridSpan w:val="2"/>
            <w:vMerge w:val="restart"/>
            <w:vAlign w:val="center"/>
          </w:tcPr>
          <w:p w14:paraId="441CE6CB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  <w:vAlign w:val="center"/>
          </w:tcPr>
          <w:p w14:paraId="23CEC041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302"/>
                <w:kern w:val="0"/>
                <w:sz w:val="24"/>
                <w:szCs w:val="24"/>
                <w:fitText w:val="1928" w:id="2"/>
              </w:rPr>
              <w:t>评定</w:t>
            </w:r>
            <w:r>
              <w:rPr>
                <w:rFonts w:hint="eastAsia" w:ascii="仿宋" w:hAnsi="仿宋" w:eastAsia="仿宋" w:cs="仿宋"/>
                <w:b/>
                <w:bCs/>
                <w:spacing w:val="0"/>
                <w:kern w:val="0"/>
                <w:sz w:val="24"/>
                <w:szCs w:val="24"/>
                <w:fitText w:val="1928" w:id="2"/>
              </w:rPr>
              <w:t>人</w:t>
            </w:r>
          </w:p>
        </w:tc>
        <w:tc>
          <w:tcPr>
            <w:tcW w:w="2183" w:type="dxa"/>
            <w:vAlign w:val="center"/>
          </w:tcPr>
          <w:p w14:paraId="4DB25488">
            <w:pPr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祝欣蓉</w:t>
            </w:r>
          </w:p>
        </w:tc>
      </w:tr>
      <w:tr w14:paraId="48668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atLeast"/>
          <w:jc w:val="center"/>
        </w:trPr>
        <w:tc>
          <w:tcPr>
            <w:tcW w:w="1961" w:type="dxa"/>
            <w:vMerge w:val="continue"/>
            <w:vAlign w:val="center"/>
          </w:tcPr>
          <w:p w14:paraId="383DB938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1650" w:type="dxa"/>
            <w:gridSpan w:val="2"/>
            <w:vMerge w:val="continue"/>
            <w:vAlign w:val="center"/>
          </w:tcPr>
          <w:p w14:paraId="32F758F6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  <w:vAlign w:val="center"/>
          </w:tcPr>
          <w:p w14:paraId="561C9102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评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定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日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4"/>
                <w:kern w:val="0"/>
                <w:sz w:val="24"/>
                <w:szCs w:val="24"/>
                <w:fitText w:val="1928" w:id="3"/>
              </w:rPr>
              <w:t>期</w:t>
            </w:r>
          </w:p>
        </w:tc>
        <w:tc>
          <w:tcPr>
            <w:tcW w:w="2183" w:type="dxa"/>
            <w:vAlign w:val="center"/>
          </w:tcPr>
          <w:p w14:paraId="20F3EA0C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</w:tr>
    </w:tbl>
    <w:p w14:paraId="212ACDEC">
      <w:pPr>
        <w:widowControl/>
        <w:jc w:val="center"/>
        <w:rPr>
          <w:rFonts w:ascii="仿宋_GB2312" w:hAnsi="宋体" w:eastAsia="仿宋_GB2312"/>
          <w:b/>
          <w:bCs/>
          <w:sz w:val="28"/>
          <w:szCs w:val="28"/>
        </w:rPr>
      </w:pPr>
    </w:p>
    <w:p w14:paraId="323CCE9B">
      <w:pPr>
        <w:pStyle w:val="2"/>
        <w:keepNext w:val="0"/>
        <w:keepLines w:val="0"/>
        <w:widowControl/>
        <w:suppressLineNumbers w:val="0"/>
      </w:pPr>
      <w:r>
        <w:rPr>
          <w:rFonts w:hint="eastAsia" w:ascii="仿宋_GB2312" w:hAnsi="宋体" w:eastAsia="仿宋_GB2312" w:cs="仿宋_GB2312"/>
          <w:b/>
          <w:bCs/>
          <w:sz w:val="28"/>
          <w:szCs w:val="28"/>
          <w:lang w:val="en-US" w:eastAsia="zh-CN"/>
        </w:rPr>
        <w:t>上海杉达学院</w:t>
      </w:r>
      <w:r>
        <w:rPr>
          <w:rFonts w:ascii="仿宋_GB2312" w:hAnsi="宋体" w:eastAsia="仿宋_GB2312"/>
          <w:sz w:val="32"/>
          <w:szCs w:val="32"/>
        </w:rPr>
        <w:br w:type="page"/>
      </w:r>
      <w:r>
        <w:t>1 选取开源项目介绍</w:t>
      </w:r>
    </w:p>
    <w:p w14:paraId="709E249E">
      <w:pPr>
        <w:pStyle w:val="7"/>
        <w:keepNext w:val="0"/>
        <w:keepLines w:val="0"/>
        <w:widowControl/>
        <w:suppressLineNumbers w:val="0"/>
      </w:pPr>
      <w:r>
        <w:t>本次作业选取 MindSpore 昇思框架作为扫描对象。MindSpore 是华为推出的全场景开源深度学习框架，采用 Apache-2.0 许可证对外开源，支持昇腾、CPU、GPU 多种硬件，实现端-边-云统一训练与推理。项目代码主要由 Python、C++ 构成，代码仓库中包含 LICENSE、NOTICE 文件，记录项目自身以及第三方依赖组件的版权与许可信息。项目内部集成大量第三方开源库，存在多类许可证，适合开展开源许可合规扫描分析。</w:t>
      </w:r>
    </w:p>
    <w:p w14:paraId="5497AA76">
      <w:pPr>
        <w:pStyle w:val="2"/>
        <w:keepNext w:val="0"/>
        <w:keepLines w:val="0"/>
        <w:widowControl/>
        <w:suppressLineNumbers w:val="0"/>
      </w:pPr>
      <w:r>
        <w:t>2</w:t>
      </w:r>
    </w:p>
    <w:p w14:paraId="02E13F4C">
      <w:pPr>
        <w:pStyle w:val="3"/>
        <w:keepNext w:val="0"/>
        <w:keepLines w:val="0"/>
        <w:widowControl/>
        <w:suppressLineNumbers w:val="0"/>
      </w:pPr>
      <w:r>
        <w:t>2.1 扫描代码</w:t>
      </w:r>
    </w:p>
    <w:p w14:paraId="153DDD03">
      <w:pPr>
        <w:pStyle w:val="7"/>
        <w:keepNext w:val="0"/>
        <w:keepLines w:val="0"/>
        <w:widowControl/>
        <w:suppressLineNumbers w:val="0"/>
      </w:pPr>
      <w:r>
        <w:t>ScanCode-Toolkit 是 AboutCode 项目下的开源合规扫描工具，自身使用 Apache-2.0 许可证。该工具为命令行工具，可以扫描源代码，识别许可证、版权信息、第三方组件依赖，支持输出 HTML、JSON、SPDX、CSV 多种格式报告，可集成到 CI/CD 流程，多用于开源项目合规审计工作。</w:t>
      </w:r>
    </w:p>
    <w:p w14:paraId="2AB09B3F">
      <w:pPr>
        <w:pStyle w:val="3"/>
        <w:keepNext w:val="0"/>
        <w:keepLines w:val="0"/>
        <w:widowControl/>
        <w:suppressLineNumbers w:val="0"/>
      </w:pPr>
      <w:r>
        <w:t>2.2 工具安装步骤</w:t>
      </w:r>
    </w:p>
    <w:p w14:paraId="7BEABFE1">
      <w:pPr>
        <w:pStyle w:val="7"/>
        <w:keepNext w:val="0"/>
        <w:keepLines w:val="0"/>
        <w:widowControl/>
        <w:suppressLineNumbers w:val="0"/>
      </w:pPr>
      <w:r>
        <w:t>第一，准备 Python 运行环境，选用 Python3.10 版本，配置好 pip 包管理工具;第二，执行 pip 命令安装 ScanCode-Toolkit：;第三，从代码仓库下载 MindSpore 源码，解压到本地全英文目录;第四，打开命令行，切换到源码所在上级目录，执行扫描命令，指定输出 HTML 格式报告。</w:t>
      </w:r>
      <w:r>
        <w:rPr>
          <w:rStyle w:val="11"/>
        </w:rPr>
        <w:t>pip install scancode</w:t>
      </w:r>
      <w:r>
        <w:rPr>
          <w:rStyle w:val="11"/>
        </w:rPr>
        <w:noBreakHyphen/>
      </w:r>
      <w:r>
        <w:rPr>
          <w:rStyle w:val="11"/>
        </w:rPr>
        <w:t>toolkit</w:t>
      </w:r>
    </w:p>
    <w:p w14:paraId="7CB3CE7D">
      <w:pPr>
        <w:pStyle w:val="3"/>
        <w:keepNext w:val="0"/>
        <w:keepLines w:val="0"/>
        <w:widowControl/>
        <w:suppressLineNumbers w:val="0"/>
      </w:pPr>
      <w:r>
        <w:t>2.3 安装与使用遇到的问题及解决办法</w:t>
      </w:r>
    </w:p>
    <w:p w14:paraId="11EDF2A4">
      <w:pPr>
        <w:pStyle w:val="7"/>
        <w:keepNext w:val="0"/>
        <w:keepLines w:val="0"/>
        <w:widowControl/>
        <w:suppressLineNumbers w:val="0"/>
      </w:pPr>
      <w:r>
        <w:t>问题一：Python 版本过高，使用 Python3.12 运行时出现版本兼容报错，工具无法启动。解决：更换为 Python3.10 稳定版本，完成环境降级后工具正常运行。问题二：源码存放路径包含中文文件夹名称，执行扫描直接中断退出。解决：将源码移动至纯英文路径下，规避中文路径造成程序异常。问题三：完整扫描全部源码文件耗时过长。解决：仅扫描项目核心源码目录，跳过编译生成的中间文件、日志文件，缩短扫描时间，不影响合规分析。</w:t>
      </w:r>
    </w:p>
    <w:p w14:paraId="05B8A434">
      <w:pPr>
        <w:pStyle w:val="2"/>
        <w:keepNext w:val="0"/>
        <w:keepLines w:val="0"/>
        <w:widowControl/>
        <w:suppressLineNumbers w:val="0"/>
      </w:pPr>
      <w:r>
        <w:t>3 工具输出检测报告概况</w:t>
      </w:r>
    </w:p>
    <w:p w14:paraId="65F2AA35">
      <w:pPr>
        <w:pStyle w:val="7"/>
        <w:keepNext w:val="0"/>
        <w:keepLines w:val="0"/>
        <w:widowControl/>
        <w:suppressLineNumbers w:val="0"/>
      </w:pPr>
      <w:r>
        <w:t>本次扫描 MindSpore 核心源码目录，输出 HTML 可视化扫描报告，关键扫描结果整理如下： 1.文件统计：本次扫描包含 Python、C/C++、CMake 脚本、配置与文档类等数千个源码文件。2. 主体许可证识别：大量源码文件头部识别出 Apache-2.0 许可证声明，与项目官方对外声明许可证保持一致。3. 第三方组件识别：扫描识别项目内嵌的第三方开源组件，第三方组件许可证主要为 MIT、BSD-3-Cla4. 未识别许可证文件：少量测试脚本、配置文件没有头部许可注释，工具标记为未检测到许可证。5. 版权信息：大部分源码识别到华为版权声明，第三方源码文件识别对应原作者版权信息。6. 风险告警：本次扫描未检测 GPL 系列强传染性许可证，无许可证冲突告警。本次生成 HTML 格式报告作为实操附件，报告完整结果见附件。</w:t>
      </w:r>
    </w:p>
    <w:p w14:paraId="7E1D3EE3">
      <w:pPr>
        <w:pStyle w:val="2"/>
        <w:keepNext w:val="0"/>
        <w:keepLines w:val="0"/>
        <w:widowControl/>
        <w:suppressLineNumbers w:val="0"/>
      </w:pPr>
      <w:r>
        <w:t>4 针对工具输出报告详细分析</w:t>
      </w:r>
    </w:p>
    <w:p w14:paraId="62FC70B6">
      <w:pPr>
        <w:pStyle w:val="3"/>
        <w:keepNext w:val="0"/>
        <w:keepLines w:val="0"/>
        <w:widowControl/>
        <w:suppressLineNumbers w:val="0"/>
      </w:pPr>
      <w:r>
        <w:t>4.1 项目合规优势</w:t>
      </w:r>
    </w:p>
    <w:p w14:paraId="48B08C4B">
      <w:pPr>
        <w:pStyle w:val="7"/>
        <w:keepNext w:val="0"/>
        <w:keepLines w:val="0"/>
        <w:widowControl/>
        <w:suppressLineNumbers w:val="0"/>
      </w:pPr>
      <w:r>
        <w:t>MindSpore 主体代码遵循 Apache-2.0 许可证，绝大多数源码文件头部携带许可注释，根目录存放 LICENSE 和 NOTICE 文件，集中记录第三方组件版权信息，整体开源合规基础较好。项目引入第三方组件均为 MIT、BSD-3-Clause、Apache-2.0 宽松许可证，许可证之间互相兼容，不存在传染</w:t>
      </w:r>
    </w:p>
    <w:p w14:paraId="51B7AA3D">
      <w:pPr>
        <w:pStyle w:val="3"/>
        <w:keepNext w:val="0"/>
        <w:keepLines w:val="0"/>
        <w:widowControl/>
        <w:suppressLineNumbers w:val="0"/>
      </w:pPr>
      <w:r>
        <w:t>4.2 扫描发现的合规缺陷与风险</w:t>
      </w:r>
    </w:p>
    <w:p w14:paraId="2EAEF14D">
      <w:pPr>
        <w:pStyle w:val="7"/>
        <w:keepNext w:val="0"/>
        <w:keepLines w:val="0"/>
        <w:widowControl/>
        <w:suppressLineNumbers w:val="0"/>
      </w:pPr>
      <w:r>
        <w:t>第一，部分测试脚本、配置文件缺少头部许可证注释，工具无法识别许可证信息。虽然这类文件大多属于辅助测试代码，一般不会对外分发，但是按照开源项目规范，也应当补充许可声明。第二，部分直接嵌入项目的第三方代码片段，虽然 NOTICE 文档已经登记，但是对应源文件内部没有标注来源与修改记录，不符合 Apache-2.0 对于修改文件的标注义务，后续版本分发时存在合规隐患。</w:t>
      </w:r>
    </w:p>
    <w:p w14:paraId="766468C4">
      <w:pPr>
        <w:pStyle w:val="3"/>
        <w:keepNext w:val="0"/>
        <w:keepLines w:val="0"/>
        <w:widowControl/>
        <w:suppressLineNumbers w:val="0"/>
      </w:pPr>
      <w:r>
        <w:t>4.3 改进建议</w:t>
      </w:r>
    </w:p>
    <w:p w14:paraId="1618BDAB">
      <w:pPr>
        <w:pStyle w:val="7"/>
        <w:keepNext w:val="0"/>
        <w:keepLines w:val="0"/>
        <w:widowControl/>
        <w:suppressLineNumbers w:val="0"/>
      </w:pPr>
      <w:r>
        <w:t>第一，针对未识别许可证的文件，补充文件头部版权与 Apache-2.0 许可注释;第二，对于直接复制的第三方代码，在文件内部写明组件来源、原始许可证、文件修改记录，履行 Apache-2.0 协议义务;第三，在项目 CI 流程接入 ScanCode 自动化扫描，代码提交时自动检测许可证缺失</w:t>
      </w:r>
    </w:p>
    <w:p w14:paraId="4B238FA2">
      <w:pPr>
        <w:pStyle w:val="3"/>
        <w:keepNext w:val="0"/>
        <w:keepLines w:val="0"/>
        <w:widowControl/>
        <w:suppressLineNumbers w:val="0"/>
      </w:pPr>
      <w:r>
        <w:t>4.4 整体合规结论</w:t>
      </w:r>
    </w:p>
    <w:p w14:paraId="6D62AF7B">
      <w:pPr>
        <w:pStyle w:val="7"/>
        <w:keepNext w:val="0"/>
        <w:keepLines w:val="0"/>
        <w:widowControl/>
        <w:suppressLineNumbers w:val="0"/>
      </w:pPr>
      <w:r>
        <w:t>MindSpore 整体许可证合规情况良好，没有引入 GPL 等强传染性许可证，不存在严重许可证冲突。现存问题属于规范性缺陷，通过补充注释、完善文档就可以整改，不影响项目对外分发和商业二次开发。</w:t>
      </w:r>
    </w:p>
    <w:p w14:paraId="7E3AE9CE">
      <w:pPr>
        <w:pStyle w:val="2"/>
        <w:keepNext w:val="0"/>
        <w:keepLines w:val="0"/>
        <w:widowControl/>
        <w:suppressLineNumbers w:val="0"/>
      </w:pPr>
      <w:r>
        <w:t>5 测试风险、测试策略与测试充分性判断</w:t>
      </w:r>
    </w:p>
    <w:p w14:paraId="103CD9B0">
      <w:pPr>
        <w:pStyle w:val="3"/>
        <w:keepNext w:val="0"/>
        <w:keepLines w:val="0"/>
        <w:widowControl/>
        <w:suppressLineNumbers w:val="0"/>
      </w:pPr>
      <w:r>
        <w:t>5.1 测试风险分析</w:t>
      </w:r>
    </w:p>
    <w:p w14:paraId="47FA7271">
      <w:pPr>
        <w:pStyle w:val="7"/>
        <w:keepNext w:val="0"/>
        <w:keepLines w:val="0"/>
        <w:widowControl/>
        <w:suppressLineNumbers w:val="0"/>
      </w:pPr>
      <w:r>
        <w:t>第一，自动化工具存在识别误差，会发生漏识别、误判情况，工具输出报告不能直接作为法律结论，必须配合人工复核。第二，扫描范围如果包含编译产物、无关压缩包，大量无效文件会干扰扫描结果，影响合规判断。第三，只依赖工具扫描报告，不去理解许可证法律义务，容易</w:t>
      </w:r>
    </w:p>
    <w:p w14:paraId="3E5F44DE">
      <w:pPr>
        <w:pStyle w:val="3"/>
        <w:keepNext w:val="0"/>
        <w:keepLines w:val="0"/>
        <w:widowControl/>
        <w:suppressLineNumbers w:val="0"/>
      </w:pPr>
      <w:r>
        <w:t>5.2 总体测试策略</w:t>
      </w:r>
    </w:p>
    <w:p w14:paraId="3710DB15">
      <w:pPr>
        <w:pStyle w:val="7"/>
        <w:keepNext w:val="0"/>
        <w:keepLines w:val="0"/>
        <w:widowControl/>
        <w:suppressLineNumbers w:val="0"/>
      </w:pPr>
      <w:r>
        <w:t>采用自动化扫描结合人工复核的策略。第一步限定扫描范围，仅选取原始源代码，排除编译生成的中间文件;第二步运行 ScanCode 工具获取自动化扫描报告;第三步人工抽查关键文件，核对 LICENSE、NOTICE 文档，校验第三方组件信息;第四步综合工具输出和人工阅读，得出合规判断以及整改建议。</w:t>
      </w:r>
    </w:p>
    <w:p w14:paraId="168E3C39">
      <w:pPr>
        <w:pStyle w:val="3"/>
        <w:keepNext w:val="0"/>
        <w:keepLines w:val="0"/>
        <w:widowControl/>
        <w:suppressLineNumbers w:val="0"/>
      </w:pPr>
      <w:r>
        <w:t>5.3 测试充分性判断标准</w:t>
      </w:r>
    </w:p>
    <w:p w14:paraId="264588A5">
      <w:pPr>
        <w:pStyle w:val="7"/>
        <w:keepNext w:val="0"/>
        <w:keepLines w:val="0"/>
        <w:widowControl/>
        <w:suppressLineNumbers w:val="0"/>
      </w:pPr>
      <w:r>
        <w:t>1. 项目根目录 LICENSE、NOTICE 文档完整，工具识别主许可证与官方声明保持一致;2. 计划对外发布的源码具备有效的许可证声明；3. 全部第三方组件完成清点，许可证之4. 项目核心代码没有5. 工具扫描标记的风险点全部完成人工确认，区分工具误报与真实合规缺陷。</w:t>
      </w:r>
    </w:p>
    <w:p w14:paraId="27A9C28E">
      <w:pPr>
        <w:widowControl/>
        <w:jc w:val="left"/>
        <w:rPr>
          <w:rFonts w:ascii="仿宋_GB2312" w:hAnsi="宋体" w:eastAsia="仿宋_GB2312"/>
          <w:sz w:val="24"/>
          <w:szCs w:val="24"/>
        </w:rPr>
      </w:pPr>
      <w:bookmarkStart w:id="0" w:name="_GoBack"/>
      <w:bookmarkEnd w:id="0"/>
    </w:p>
    <w:p w14:paraId="369978CF">
      <w:pPr>
        <w:widowControl/>
        <w:jc w:val="left"/>
        <w:rPr>
          <w:rFonts w:ascii="仿宋_GB2312" w:hAnsi="宋体" w:eastAsia="仿宋_GB2312"/>
          <w:sz w:val="24"/>
          <w:szCs w:val="24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38BC7205">
      <w:pPr>
        <w:widowControl/>
        <w:jc w:val="left"/>
        <w:rPr>
          <w:rFonts w:ascii="仿宋_GB2312" w:hAnsi="宋体" w:eastAsia="仿宋_GB2312"/>
          <w:sz w:val="24"/>
          <w:szCs w:val="24"/>
        </w:rPr>
      </w:pPr>
      <w:r>
        <w:rPr>
          <w:rFonts w:hint="eastAsia" w:ascii="仿宋_GB2312" w:hAnsi="宋体" w:eastAsia="仿宋_GB2312" w:cs="仿宋_GB2312"/>
          <w:sz w:val="24"/>
          <w:szCs w:val="24"/>
        </w:rPr>
        <w:t>评价表格：</w:t>
      </w:r>
    </w:p>
    <w:tbl>
      <w:tblPr>
        <w:tblStyle w:val="8"/>
        <w:tblW w:w="8522" w:type="dxa"/>
        <w:tblInd w:w="-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79"/>
        <w:gridCol w:w="1043"/>
      </w:tblGrid>
      <w:tr w14:paraId="67206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306EF4F9">
            <w:pPr>
              <w:spacing w:line="300" w:lineRule="auto"/>
              <w:jc w:val="center"/>
              <w:rPr>
                <w:rFonts w:ascii="仿宋" w:hAnsi="仿宋" w:eastAsia="仿宋"/>
                <w:b/>
                <w:bCs/>
                <w:kern w:val="0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</w:rPr>
              <w:t>考核标准</w:t>
            </w:r>
          </w:p>
        </w:tc>
        <w:tc>
          <w:tcPr>
            <w:tcW w:w="1043" w:type="dxa"/>
          </w:tcPr>
          <w:p w14:paraId="2BB8AF0D">
            <w:pPr>
              <w:widowControl/>
              <w:jc w:val="center"/>
              <w:rPr>
                <w:rFonts w:ascii="仿宋" w:hAnsi="仿宋" w:eastAsia="仿宋"/>
                <w:b/>
                <w:bCs/>
                <w:kern w:val="0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</w:rPr>
              <w:t>得分</w:t>
            </w:r>
          </w:p>
        </w:tc>
      </w:tr>
      <w:tr w14:paraId="70B67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603E2623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1</w:t>
            </w:r>
            <w:r>
              <w:rPr>
                <w:rFonts w:hint="eastAsia" w:ascii="仿宋" w:hAnsi="仿宋" w:eastAsia="仿宋" w:cs="仿宋"/>
                <w:kern w:val="0"/>
              </w:rPr>
              <w:t>）报告格式规范、语言通顺（</w:t>
            </w:r>
            <w:r>
              <w:rPr>
                <w:rFonts w:ascii="仿宋" w:hAnsi="仿宋" w:eastAsia="仿宋" w:cs="仿宋"/>
                <w:kern w:val="0"/>
              </w:rPr>
              <w:t>10%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4B49FE88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053CC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2407C561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2</w:t>
            </w:r>
            <w:r>
              <w:rPr>
                <w:rFonts w:hint="eastAsia" w:ascii="仿宋" w:hAnsi="仿宋" w:eastAsia="仿宋" w:cs="仿宋"/>
                <w:kern w:val="0"/>
              </w:rPr>
              <w:t>）质量标准分析合理（1</w:t>
            </w:r>
            <w:r>
              <w:rPr>
                <w:rFonts w:ascii="仿宋" w:hAnsi="仿宋" w:eastAsia="仿宋" w:cs="仿宋"/>
                <w:kern w:val="0"/>
              </w:rPr>
              <w:t>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592BED55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345EE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06B4BA6C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3</w:t>
            </w:r>
            <w:r>
              <w:rPr>
                <w:rFonts w:hint="eastAsia" w:ascii="仿宋" w:hAnsi="仿宋" w:eastAsia="仿宋" w:cs="仿宋"/>
                <w:kern w:val="0"/>
              </w:rPr>
              <w:t>）测试方法分析全面、合理（</w:t>
            </w:r>
            <w:r>
              <w:rPr>
                <w:rFonts w:ascii="仿宋" w:hAnsi="仿宋" w:eastAsia="仿宋" w:cs="仿宋"/>
                <w:kern w:val="0"/>
              </w:rPr>
              <w:t>20%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5E606DBE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155A9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37F015F1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4</w:t>
            </w:r>
            <w:r>
              <w:rPr>
                <w:rFonts w:hint="eastAsia" w:ascii="仿宋" w:hAnsi="仿宋" w:eastAsia="仿宋" w:cs="仿宋"/>
                <w:kern w:val="0"/>
              </w:rPr>
              <w:t>）测试风险分析全面、合理（</w:t>
            </w:r>
            <w:r>
              <w:rPr>
                <w:rFonts w:ascii="仿宋" w:hAnsi="仿宋" w:eastAsia="仿宋" w:cs="仿宋"/>
                <w:kern w:val="0"/>
              </w:rPr>
              <w:t>20%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1086904D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182C1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4EEB5B32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5</w:t>
            </w:r>
            <w:r>
              <w:rPr>
                <w:rFonts w:hint="eastAsia" w:ascii="仿宋" w:hAnsi="仿宋" w:eastAsia="仿宋" w:cs="仿宋"/>
                <w:kern w:val="0"/>
              </w:rPr>
              <w:t>）测试总体测试策略全面、合理（3</w:t>
            </w:r>
            <w:r>
              <w:rPr>
                <w:rFonts w:ascii="仿宋" w:hAnsi="仿宋" w:eastAsia="仿宋" w:cs="仿宋"/>
                <w:kern w:val="0"/>
              </w:rPr>
              <w:t>0%</w:t>
            </w:r>
            <w:r>
              <w:rPr>
                <w:rFonts w:hint="eastAsia" w:ascii="仿宋" w:hAnsi="仿宋" w:eastAsia="仿宋" w:cs="仿宋"/>
                <w:kern w:val="0"/>
              </w:rPr>
              <w:t>）</w:t>
            </w:r>
          </w:p>
        </w:tc>
        <w:tc>
          <w:tcPr>
            <w:tcW w:w="1043" w:type="dxa"/>
          </w:tcPr>
          <w:p w14:paraId="36167FA8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49649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6EB43FAF">
            <w:pPr>
              <w:spacing w:line="300" w:lineRule="auto"/>
              <w:rPr>
                <w:rFonts w:ascii="仿宋" w:hAnsi="仿宋" w:eastAsia="仿宋" w:cs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（6）测试充分性判断标准合理（10%）</w:t>
            </w:r>
          </w:p>
        </w:tc>
        <w:tc>
          <w:tcPr>
            <w:tcW w:w="1043" w:type="dxa"/>
          </w:tcPr>
          <w:p w14:paraId="13FC1955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</w:tbl>
    <w:p w14:paraId="32DAE905">
      <w:pPr>
        <w:widowControl/>
        <w:jc w:val="left"/>
        <w:rPr>
          <w:rFonts w:ascii="仿宋_GB2312" w:hAnsi="宋体" w:eastAsia="仿宋_GB2312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1BED45">
    <w:pPr>
      <w:pStyle w:val="5"/>
      <w:jc w:val="center"/>
      <w:rPr>
        <w:rFonts w:ascii="宋体"/>
        <w:sz w:val="21"/>
        <w:szCs w:val="21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FC2EF0"/>
  <w:p w14:paraId="24A17E3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oNotHyphenateCaps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2FF7"/>
    <w:rsid w:val="00004924"/>
    <w:rsid w:val="0004082D"/>
    <w:rsid w:val="00122EF6"/>
    <w:rsid w:val="001B25B7"/>
    <w:rsid w:val="00210F7B"/>
    <w:rsid w:val="002A68D5"/>
    <w:rsid w:val="002B1E36"/>
    <w:rsid w:val="002E6DAA"/>
    <w:rsid w:val="00300C0D"/>
    <w:rsid w:val="0031225C"/>
    <w:rsid w:val="00327EE0"/>
    <w:rsid w:val="003939A9"/>
    <w:rsid w:val="003D5142"/>
    <w:rsid w:val="004C0520"/>
    <w:rsid w:val="00543D41"/>
    <w:rsid w:val="0056650E"/>
    <w:rsid w:val="006271D4"/>
    <w:rsid w:val="00652FF7"/>
    <w:rsid w:val="00670E8A"/>
    <w:rsid w:val="00777921"/>
    <w:rsid w:val="00780EF2"/>
    <w:rsid w:val="007B2FC0"/>
    <w:rsid w:val="007B59F3"/>
    <w:rsid w:val="007E21F6"/>
    <w:rsid w:val="007E763B"/>
    <w:rsid w:val="007F5A3E"/>
    <w:rsid w:val="008E5344"/>
    <w:rsid w:val="00911CFD"/>
    <w:rsid w:val="00956CF2"/>
    <w:rsid w:val="00A15A10"/>
    <w:rsid w:val="00A4464A"/>
    <w:rsid w:val="00AB32CB"/>
    <w:rsid w:val="00AE7B1B"/>
    <w:rsid w:val="00BB2BBC"/>
    <w:rsid w:val="00BC35C9"/>
    <w:rsid w:val="00BE2E5F"/>
    <w:rsid w:val="00C70D3A"/>
    <w:rsid w:val="00C85277"/>
    <w:rsid w:val="00D02F64"/>
    <w:rsid w:val="00DF1951"/>
    <w:rsid w:val="00DF2C02"/>
    <w:rsid w:val="00E12444"/>
    <w:rsid w:val="00E749A8"/>
    <w:rsid w:val="00E85B11"/>
    <w:rsid w:val="00E911C2"/>
    <w:rsid w:val="00F61227"/>
    <w:rsid w:val="00F93499"/>
    <w:rsid w:val="00F95DEC"/>
    <w:rsid w:val="00FE3EF8"/>
    <w:rsid w:val="05F15D1D"/>
    <w:rsid w:val="0695635D"/>
    <w:rsid w:val="0C620734"/>
    <w:rsid w:val="12FD788F"/>
    <w:rsid w:val="1A101EFF"/>
    <w:rsid w:val="1AB55DD4"/>
    <w:rsid w:val="1C787CA6"/>
    <w:rsid w:val="23E65FFA"/>
    <w:rsid w:val="32FB6306"/>
    <w:rsid w:val="36034403"/>
    <w:rsid w:val="38DD575A"/>
    <w:rsid w:val="3BDF39ED"/>
    <w:rsid w:val="3D775432"/>
    <w:rsid w:val="47351CE1"/>
    <w:rsid w:val="47F07C77"/>
    <w:rsid w:val="4C987DD0"/>
    <w:rsid w:val="60CA19D8"/>
    <w:rsid w:val="665D5E75"/>
    <w:rsid w:val="6D2E4BAB"/>
    <w:rsid w:val="71E75D3D"/>
    <w:rsid w:val="720A1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nhideWhenUsed="0" w:uiPriority="99" w:semiHidden="0" w:name="heading 3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locked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link w:val="12"/>
    <w:qFormat/>
    <w:uiPriority w:val="9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3"/>
    <w:semiHidden/>
    <w:qFormat/>
    <w:uiPriority w:val="99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TML Code"/>
    <w:basedOn w:val="10"/>
    <w:semiHidden/>
    <w:unhideWhenUsed/>
    <w:uiPriority w:val="99"/>
    <w:rPr>
      <w:rFonts w:ascii="Courier New" w:hAnsi="Courier New"/>
      <w:sz w:val="20"/>
    </w:rPr>
  </w:style>
  <w:style w:type="character" w:customStyle="1" w:styleId="12">
    <w:name w:val="标题 3 字符"/>
    <w:link w:val="3"/>
    <w:semiHidden/>
    <w:qFormat/>
    <w:locked/>
    <w:uiPriority w:val="99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3">
    <w:name w:val="批注框文本 字符"/>
    <w:link w:val="4"/>
    <w:semiHidden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4">
    <w:name w:val="页脚 字符"/>
    <w:link w:val="5"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5">
    <w:name w:val="页眉 字符"/>
    <w:link w:val="6"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6">
    <w:name w:val="List Paragraph1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6</Pages>
  <Words>364</Words>
  <Characters>402</Characters>
  <Lines>3</Lines>
  <Paragraphs>1</Paragraphs>
  <TotalTime>10</TotalTime>
  <ScaleCrop>false</ScaleCrop>
  <LinksUpToDate>false</LinksUpToDate>
  <CharactersWithSpaces>445</CharactersWithSpaces>
  <Application>WPS Office_12.1.0.28599_F1E327BC-269C-435d-A152-05C5408002CA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2023-08-22T04:51:00Z</dcterms:created>
  <dc:creator>微软用户</dc:creator>
  <cp:lastModifiedBy>自信柠檬（Crystal）</cp:lastModifiedBy>
  <dcterms:modified xsi:type="dcterms:W3CDTF">2026-10-11T04:51:36Z</dcterms:modified>
  <dc:title>课程编号：B0801*****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2052-12.1.0.28599</vt:lpwstr>
  </property>
  <property fmtid="{D5CDD505-2E9C-101B-9397-08002B2CF9AE}" pid="3" name="KSOTemplateDocerSaveRecord">
    <vt:lpwstr>eyJoZGlkIjoiNzA3MGNiMDI1N2VhNjI4Y2FhYjQ1YzQ1NzI4MTBjNDEiLCJ1c2VySWQiOiI1MzE5MTUxNjIifQ==</vt:lpwstr>
  </property>
  <property fmtid="{D5CDD505-2E9C-101B-9397-08002B2CF9AE}" pid="4" name="ICV">
    <vt:lpwstr>2FCBE16CC9AA4110AD018CF3B4DFFEB0_12</vt:lpwstr>
  </property>
</Properties>
</file>