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before="1200" w:after="400"/>
        <w:jc w:val="center"/>
      </w:pPr>
      <w:r>
        <w:rPr>
          <w:rFonts w:ascii="Times New Roman" w:hAnsi="Times New Roman"/>
          <w:b/>
          <w:color w:val="000000"/>
          <w:sz w:val="56"/>
        </w:rPr>
        <w:t>Microbiología y Virología</w:t>
      </w:r>
    </w:p>
    <w:p>
      <w:pPr>
        <w:spacing w:after="600"/>
        <w:jc w:val="center"/>
      </w:pPr>
      <w:r>
        <w:rPr>
          <w:rFonts w:ascii="Times New Roman" w:hAnsi="Times New Roman"/>
          <w:color w:val="606060"/>
          <w:sz w:val="32"/>
        </w:rPr>
        <w:t>Documento de Estudio</w:t>
      </w:r>
    </w:p>
    <w:p>
      <w:pPr>
        <w:spacing w:after="600"/>
        <w:jc w:val="center"/>
        <w:pBdr>
          <w:bottom w:val="single" w:sz="12" w:space="1" w:color="8B7E5A"/>
        </w:pBdr>
      </w:pPr>
    </w:p>
    <w:p>
      <w:pPr>
        <w:spacing w:after="120"/>
        <w:jc w:val="center"/>
      </w:pPr>
      <w:r>
        <w:rPr>
          <w:rFonts w:ascii="Times New Roman" w:hAnsi="Times New Roman"/>
          <w:color w:val="606060"/>
          <w:sz w:val="24"/>
        </w:rPr>
        <w:t>Asignatura: Microbiología y Virología</w:t>
      </w:r>
    </w:p>
    <w:p>
      <w:pPr>
        <w:spacing w:after="120"/>
        <w:jc w:val="center"/>
      </w:pPr>
      <w:r>
        <w:rPr>
          <w:rFonts w:ascii="Times New Roman" w:hAnsi="Times New Roman"/>
          <w:color w:val="606060"/>
          <w:sz w:val="24"/>
        </w:rPr>
        <w:t>Fecha: 2026-05-25</w:t>
      </w:r>
    </w:p>
    <w:p>
      <w:r>
        <w:br w:type="page"/>
      </w:r>
    </w:p>
    <w:p>
      <w:pPr>
        <w:pStyle w:val="Heading1"/>
      </w:pPr>
      <w:r>
        <w:t>1. Introducción a la Microbiología</w:t>
      </w:r>
    </w:p>
    <w:p>
      <w:pPr>
        <w:spacing w:line="360" w:lineRule="auto" w:after="120"/>
        <w:ind w:firstLine="283"/>
        <w:jc w:val="both"/>
      </w:pPr>
      <w:r>
        <w:rPr>
          <w:rFonts w:ascii="Times New Roman" w:hAnsi="Times New Roman"/>
          <w:b w:val="0"/>
          <w:sz w:val="24"/>
        </w:rPr>
        <w:t xml:space="preserve">La </w:t>
      </w:r>
      <w:r>
        <w:rPr>
          <w:rFonts w:ascii="Times New Roman" w:hAnsi="Times New Roman"/>
          <w:b/>
          <w:sz w:val="24"/>
        </w:rPr>
        <w:t>microbiología</w:t>
      </w:r>
      <w:r>
        <w:rPr>
          <w:rFonts w:ascii="Times New Roman" w:hAnsi="Times New Roman"/>
          <w:b w:val="0"/>
          <w:sz w:val="24"/>
        </w:rPr>
        <w:t xml:space="preserve"> es la rama de la biología que se dedica al estudio de los microorganismos, es decir, aquellos seres vivos que solo pueden ser observados mediante el uso de microscopios. Esta disciplina abarca el análisis de su estructura, fisiología, genética, ecología, clasificación y su papel en los ecosistemas, así como su impacto en la salud humana, la industria y el medio ambiente. Los microorganismos incluyen bacterias, virus, hongos, protozoos y algas microscópicas, cada uno con características biológicas distintivas que determinan su forma de interactuar con el entorno y con otros organismos.</w:t>
      </w:r>
    </w:p>
    <w:p>
      <w:pPr>
        <w:spacing w:line="360" w:lineRule="auto" w:after="120"/>
        <w:ind w:firstLine="283"/>
        <w:jc w:val="both"/>
      </w:pPr>
      <w:r>
        <w:rPr>
          <w:rFonts w:ascii="Times New Roman" w:hAnsi="Times New Roman"/>
          <w:b w:val="0"/>
          <w:sz w:val="24"/>
        </w:rPr>
        <w:t xml:space="preserve">Desde el punto de vista de la </w:t>
      </w:r>
      <w:r>
        <w:rPr>
          <w:rFonts w:ascii="Times New Roman" w:hAnsi="Times New Roman"/>
          <w:b/>
          <w:sz w:val="24"/>
        </w:rPr>
        <w:t>clasificación celular</w:t>
      </w:r>
      <w:r>
        <w:rPr>
          <w:rFonts w:ascii="Times New Roman" w:hAnsi="Times New Roman"/>
          <w:b w:val="0"/>
          <w:sz w:val="24"/>
        </w:rPr>
        <w:t>, los seres vivos se organizan en tres grandes categorías que reflejan diferencias fundamentales en la complejidad y organización de sus células:</w:t>
      </w:r>
    </w:p>
    <w:p>
      <w:pPr>
        <w:spacing w:after="80" w:before="200"/>
        <w:jc w:val="center"/>
      </w:pPr>
      <w:r>
        <w:rPr>
          <w:rFonts w:ascii="Times New Roman" w:hAnsi="Times New Roman"/>
          <w:b/>
          <w:sz w:val="21"/>
        </w:rPr>
        <w:t>Tabla 1. Clasificación celular de los organismos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929"/>
        <w:gridCol w:w="2929"/>
        <w:gridCol w:w="2929"/>
      </w:tblGrid>
      <w:tr>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Categoría</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Características</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Ejemplos</w:t>
            </w:r>
          </w:p>
        </w:tc>
      </w:tr>
      <w:tr>
        <w:tc>
          <w:tcPr>
            <w:tcW w:type="dxa" w:w="2929"/>
          </w:tcPr>
          <w:p>
            <w:pPr>
              <w:jc w:val="center"/>
            </w:pPr>
            <w:r/>
            <w:r>
              <w:rPr>
                <w:rFonts w:ascii="Times New Roman" w:hAnsi="Times New Roman"/>
                <w:sz w:val="21"/>
              </w:rPr>
              <w:t>Eucariotas</w:t>
            </w:r>
          </w:p>
        </w:tc>
        <w:tc>
          <w:tcPr>
            <w:tcW w:type="dxa" w:w="2929"/>
          </w:tcPr>
          <w:p>
            <w:pPr>
              <w:jc w:val="center"/>
            </w:pPr>
            <w:r/>
            <w:r>
              <w:rPr>
                <w:rFonts w:ascii="Times New Roman" w:hAnsi="Times New Roman"/>
                <w:sz w:val="21"/>
              </w:rPr>
              <w:t>Células con núcleo verdadero delimitado por membrana; orgánulos membranosos (mitocondrias, RE, aparato de Golgi); ADN organizado en cromosomas lineales</w:t>
            </w:r>
          </w:p>
        </w:tc>
        <w:tc>
          <w:tcPr>
            <w:tcW w:type="dxa" w:w="2929"/>
          </w:tcPr>
          <w:p>
            <w:pPr>
              <w:jc w:val="center"/>
            </w:pPr>
            <w:r/>
            <w:r>
              <w:rPr>
                <w:rFonts w:ascii="Times New Roman" w:hAnsi="Times New Roman"/>
                <w:sz w:val="21"/>
              </w:rPr>
              <w:t>Hongos, protozoos, algas, células animales y vegetales</w:t>
            </w:r>
          </w:p>
        </w:tc>
      </w:tr>
      <w:tr>
        <w:tc>
          <w:tcPr>
            <w:tcW w:type="dxa" w:w="2929"/>
          </w:tcPr>
          <w:p>
            <w:pPr>
              <w:jc w:val="center"/>
            </w:pPr>
            <w:r/>
            <w:r>
              <w:rPr>
                <w:rFonts w:ascii="Times New Roman" w:hAnsi="Times New Roman"/>
                <w:sz w:val="21"/>
              </w:rPr>
              <w:t>Procariotas</w:t>
            </w:r>
          </w:p>
        </w:tc>
        <w:tc>
          <w:tcPr>
            <w:tcW w:type="dxa" w:w="2929"/>
          </w:tcPr>
          <w:p>
            <w:pPr>
              <w:jc w:val="center"/>
            </w:pPr>
            <w:r/>
            <w:r>
              <w:rPr>
                <w:rFonts w:ascii="Times New Roman" w:hAnsi="Times New Roman"/>
                <w:sz w:val="21"/>
              </w:rPr>
              <w:t>Células sin núcleo definido; ADN disperso en el citoplasma (nucleoide); ausencia de orgánulos membranosos; ribosomas 70S; pared celular de peptidoglucano</w:t>
            </w:r>
          </w:p>
        </w:tc>
        <w:tc>
          <w:tcPr>
            <w:tcW w:type="dxa" w:w="2929"/>
          </w:tcPr>
          <w:p>
            <w:pPr>
              <w:jc w:val="center"/>
            </w:pPr>
            <w:r/>
            <w:r>
              <w:rPr>
                <w:rFonts w:ascii="Times New Roman" w:hAnsi="Times New Roman"/>
                <w:sz w:val="21"/>
              </w:rPr>
              <w:t>Bacterias y arqueas</w:t>
            </w:r>
          </w:p>
        </w:tc>
      </w:tr>
      <w:tr>
        <w:tc>
          <w:tcPr>
            <w:tcW w:type="dxa" w:w="2929"/>
          </w:tcPr>
          <w:p>
            <w:pPr>
              <w:jc w:val="center"/>
            </w:pPr>
            <w:r/>
            <w:r>
              <w:rPr>
                <w:rFonts w:ascii="Times New Roman" w:hAnsi="Times New Roman"/>
                <w:sz w:val="21"/>
              </w:rPr>
              <w:t>Acelulares</w:t>
            </w:r>
          </w:p>
        </w:tc>
        <w:tc>
          <w:tcPr>
            <w:tcW w:type="dxa" w:w="2929"/>
          </w:tcPr>
          <w:p>
            <w:pPr>
              <w:jc w:val="center"/>
            </w:pPr>
            <w:r/>
            <w:r>
              <w:rPr>
                <w:rFonts w:ascii="Times New Roman" w:hAnsi="Times New Roman"/>
                <w:sz w:val="21"/>
              </w:rPr>
              <w:t>No poseen estructura celular; sin metabolismo propio; compuestos por ácido nucleico (ADN o ARN) y cápside proteica; parásitos obligados</w:t>
            </w:r>
          </w:p>
        </w:tc>
        <w:tc>
          <w:tcPr>
            <w:tcW w:type="dxa" w:w="2929"/>
          </w:tcPr>
          <w:p>
            <w:pPr>
              <w:jc w:val="center"/>
            </w:pPr>
            <w:r/>
            <w:r>
              <w:rPr>
                <w:rFonts w:ascii="Times New Roman" w:hAnsi="Times New Roman"/>
                <w:sz w:val="21"/>
              </w:rPr>
              <w:t>Virus, viroides, priones</w:t>
            </w:r>
          </w:p>
        </w:tc>
      </w:tr>
    </w:tbl>
    <w:p>
      <w:pPr>
        <w:spacing w:before="40" w:after="120"/>
      </w:pPr>
    </w:p>
    <w:p>
      <w:pPr>
        <w:spacing w:line="360" w:lineRule="auto" w:after="120"/>
        <w:ind w:firstLine="283"/>
        <w:jc w:val="both"/>
      </w:pPr>
      <w:r>
        <w:rPr>
          <w:rFonts w:ascii="Times New Roman" w:hAnsi="Times New Roman"/>
          <w:b w:val="0"/>
          <w:sz w:val="24"/>
        </w:rPr>
        <w:t xml:space="preserve">Es fundamental destacar que las </w:t>
      </w:r>
      <w:r>
        <w:rPr>
          <w:rFonts w:ascii="Times New Roman" w:hAnsi="Times New Roman"/>
          <w:b/>
          <w:sz w:val="24"/>
        </w:rPr>
        <w:t>bacterias</w:t>
      </w:r>
      <w:r>
        <w:rPr>
          <w:rFonts w:ascii="Times New Roman" w:hAnsi="Times New Roman"/>
          <w:b w:val="0"/>
          <w:sz w:val="24"/>
        </w:rPr>
        <w:t xml:space="preserve"> se clasifican como </w:t>
      </w:r>
      <w:r>
        <w:rPr>
          <w:rFonts w:ascii="Times New Roman" w:hAnsi="Times New Roman"/>
          <w:b/>
          <w:sz w:val="24"/>
        </w:rPr>
        <w:t>procariotas</w:t>
      </w:r>
      <w:r>
        <w:rPr>
          <w:rFonts w:ascii="Times New Roman" w:hAnsi="Times New Roman"/>
          <w:b w:val="0"/>
          <w:sz w:val="24"/>
        </w:rPr>
        <w:t xml:space="preserve">, dado que carecen de núcleo verdadero y de orgánulos membranosos, mientras que los </w:t>
      </w:r>
      <w:r>
        <w:rPr>
          <w:rFonts w:ascii="Times New Roman" w:hAnsi="Times New Roman"/>
          <w:b/>
          <w:sz w:val="24"/>
        </w:rPr>
        <w:t>hongos</w:t>
      </w:r>
      <w:r>
        <w:rPr>
          <w:rFonts w:ascii="Times New Roman" w:hAnsi="Times New Roman"/>
          <w:b w:val="0"/>
          <w:sz w:val="24"/>
        </w:rPr>
        <w:t xml:space="preserve"> son </w:t>
      </w:r>
      <w:r>
        <w:rPr>
          <w:rFonts w:ascii="Times New Roman" w:hAnsi="Times New Roman"/>
          <w:b/>
          <w:sz w:val="24"/>
        </w:rPr>
        <w:t>eucariotas</w:t>
      </w:r>
      <w:r>
        <w:rPr>
          <w:rFonts w:ascii="Times New Roman" w:hAnsi="Times New Roman"/>
          <w:b w:val="0"/>
          <w:sz w:val="24"/>
        </w:rPr>
        <w:t>, pues poseen un núcleo bien definido y orgánulos como mitocondrias y retículo endoplasmático. Los virus, por su parte, constituyen entidades acelulares que no pueden replicarse de forma independiente y requieren infectar una célula huésped para su multiplicación.</w:t>
      </w:r>
    </w:p>
    <w:p>
      <w:pPr>
        <w:pStyle w:val="Heading1"/>
      </w:pPr>
      <w:r>
        <w:t>2. Características Generales de las Bacterias</w:t>
      </w:r>
    </w:p>
    <w:p>
      <w:pPr>
        <w:spacing w:line="360" w:lineRule="auto" w:after="120"/>
        <w:ind w:firstLine="283"/>
        <w:jc w:val="both"/>
      </w:pPr>
      <w:r>
        <w:rPr>
          <w:rFonts w:ascii="Times New Roman" w:hAnsi="Times New Roman"/>
          <w:b w:val="0"/>
          <w:sz w:val="24"/>
        </w:rPr>
        <w:t xml:space="preserve">Las bacterias son organismos </w:t>
      </w:r>
      <w:r>
        <w:rPr>
          <w:rFonts w:ascii="Times New Roman" w:hAnsi="Times New Roman"/>
          <w:b/>
          <w:sz w:val="24"/>
        </w:rPr>
        <w:t>unicelulares</w:t>
      </w:r>
      <w:r>
        <w:rPr>
          <w:rFonts w:ascii="Times New Roman" w:hAnsi="Times New Roman"/>
          <w:b w:val="0"/>
          <w:sz w:val="24"/>
        </w:rPr>
        <w:t xml:space="preserve"> de organización </w:t>
      </w:r>
      <w:r>
        <w:rPr>
          <w:rFonts w:ascii="Times New Roman" w:hAnsi="Times New Roman"/>
          <w:b/>
          <w:sz w:val="24"/>
        </w:rPr>
        <w:t>procariota</w:t>
      </w:r>
      <w:r>
        <w:rPr>
          <w:rFonts w:ascii="Times New Roman" w:hAnsi="Times New Roman"/>
          <w:b w:val="0"/>
          <w:sz w:val="24"/>
        </w:rPr>
        <w:t xml:space="preserve">. A diferencia de lo que se podría pensar, el término «multiprocariota» se refiere a que muchas bacterias pueden formar agrupaciones o colonias de células procariotas, aunque cada célula individual sigue siendo un organismo independiente. Su tamaño oscila generalmente entre </w:t>
      </w:r>
      <w:r>
        <w:rPr>
          <w:rFonts w:ascii="Times New Roman" w:hAnsi="Times New Roman"/>
          <w:b/>
          <w:sz w:val="24"/>
        </w:rPr>
        <w:t>0,5 y 5 µm</w:t>
      </w:r>
      <w:r>
        <w:rPr>
          <w:rFonts w:ascii="Times New Roman" w:hAnsi="Times New Roman"/>
          <w:b w:val="0"/>
          <w:sz w:val="24"/>
        </w:rPr>
        <w:t>, lo que las hace invisibles al ojo humano y requiere el uso de microscopía óptica o electrónica para su observación detallada.</w:t>
      </w:r>
    </w:p>
    <w:p>
      <w:pPr>
        <w:spacing w:line="360" w:lineRule="auto" w:after="120"/>
        <w:ind w:firstLine="283"/>
        <w:jc w:val="both"/>
      </w:pPr>
      <w:r>
        <w:rPr>
          <w:rFonts w:ascii="Times New Roman" w:hAnsi="Times New Roman"/>
          <w:b w:val="0"/>
          <w:sz w:val="24"/>
        </w:rPr>
        <w:t xml:space="preserve">Una de las estructuras más relevantes de la célula bacteriana es la </w:t>
      </w:r>
      <w:r>
        <w:rPr>
          <w:rFonts w:ascii="Times New Roman" w:hAnsi="Times New Roman"/>
          <w:b/>
          <w:sz w:val="24"/>
        </w:rPr>
        <w:t>pared celular</w:t>
      </w:r>
      <w:r>
        <w:rPr>
          <w:rFonts w:ascii="Times New Roman" w:hAnsi="Times New Roman"/>
          <w:b w:val="0"/>
          <w:sz w:val="24"/>
        </w:rPr>
        <w:t xml:space="preserve">, compuesta principalmente de </w:t>
      </w:r>
      <w:r>
        <w:rPr>
          <w:rFonts w:ascii="Times New Roman" w:hAnsi="Times New Roman"/>
          <w:b/>
          <w:sz w:val="24"/>
        </w:rPr>
        <w:t>peptidoglucano</w:t>
      </w:r>
      <w:r>
        <w:rPr>
          <w:rFonts w:ascii="Times New Roman" w:hAnsi="Times New Roman"/>
          <w:b w:val="0"/>
          <w:sz w:val="24"/>
        </w:rPr>
        <w:t xml:space="preserve"> (también denominado mureína), un polímero que confiere rigidez y protección frente a la presión osmótica del medio exterior. Algunas bacterias poseen además una </w:t>
      </w:r>
      <w:r>
        <w:rPr>
          <w:rFonts w:ascii="Times New Roman" w:hAnsi="Times New Roman"/>
          <w:b/>
          <w:sz w:val="24"/>
        </w:rPr>
        <w:t>cápsula</w:t>
      </w:r>
      <w:r>
        <w:rPr>
          <w:rFonts w:ascii="Times New Roman" w:hAnsi="Times New Roman"/>
          <w:b w:val="0"/>
          <w:sz w:val="24"/>
        </w:rPr>
        <w:t>, una capa externa de naturaleza polisacárida (y en algunos casos polipeptídica) que les proporciona protección contra la desecación, la fagocitosis y los agentes antimicrobianos, además de facilitar la adhesión a superficies.</w:t>
      </w:r>
    </w:p>
    <w:p>
      <w:pPr>
        <w:spacing w:line="360" w:lineRule="auto" w:after="120"/>
        <w:ind w:firstLine="283"/>
        <w:jc w:val="both"/>
      </w:pPr>
      <w:r>
        <w:rPr>
          <w:rFonts w:ascii="Times New Roman" w:hAnsi="Times New Roman"/>
          <w:b w:val="0"/>
          <w:sz w:val="24"/>
        </w:rPr>
        <w:t xml:space="preserve">El material genético de las bacterias consiste en una molécula de </w:t>
      </w:r>
      <w:r>
        <w:rPr>
          <w:rFonts w:ascii="Times New Roman" w:hAnsi="Times New Roman"/>
          <w:b/>
          <w:sz w:val="24"/>
        </w:rPr>
        <w:t>ADN circular</w:t>
      </w:r>
      <w:r>
        <w:rPr>
          <w:rFonts w:ascii="Times New Roman" w:hAnsi="Times New Roman"/>
          <w:b w:val="0"/>
          <w:sz w:val="24"/>
        </w:rPr>
        <w:t xml:space="preserve"> que se encuentra dispersa en el citoplasma, en una región denominada </w:t>
      </w:r>
      <w:r>
        <w:rPr>
          <w:rFonts w:ascii="Times New Roman" w:hAnsi="Times New Roman"/>
          <w:b/>
          <w:sz w:val="24"/>
        </w:rPr>
        <w:t>nucleoide</w:t>
      </w:r>
      <w:r>
        <w:rPr>
          <w:rFonts w:ascii="Times New Roman" w:hAnsi="Times New Roman"/>
          <w:b w:val="0"/>
          <w:sz w:val="24"/>
        </w:rPr>
        <w:t xml:space="preserve">, sin estar rodeada por una membrana nuclear. Adicionalmente, muchas bacterias contienen </w:t>
      </w:r>
      <w:r>
        <w:rPr>
          <w:rFonts w:ascii="Times New Roman" w:hAnsi="Times New Roman"/>
          <w:b/>
          <w:sz w:val="24"/>
        </w:rPr>
        <w:t>plásmidos</w:t>
      </w:r>
      <w:r>
        <w:rPr>
          <w:rFonts w:ascii="Times New Roman" w:hAnsi="Times New Roman"/>
          <w:b w:val="0"/>
          <w:sz w:val="24"/>
        </w:rPr>
        <w:t>, pequeñas moléculas de ADN extracromosómico que portan genes de resistencia a antibióticos y otros factores de virulencia, y que pueden transferirse entre bacterias mediante conjugación.</w:t>
      </w:r>
    </w:p>
    <w:p>
      <w:pPr>
        <w:spacing w:line="360" w:lineRule="auto" w:after="120"/>
        <w:ind w:firstLine="283"/>
        <w:jc w:val="both"/>
      </w:pPr>
      <w:r>
        <w:rPr>
          <w:rFonts w:ascii="Times New Roman" w:hAnsi="Times New Roman"/>
          <w:b w:val="0"/>
          <w:sz w:val="24"/>
        </w:rPr>
        <w:t xml:space="preserve">En cuanto a la motilidad, ciertas bacterias disponen de </w:t>
      </w:r>
      <w:r>
        <w:rPr>
          <w:rFonts w:ascii="Times New Roman" w:hAnsi="Times New Roman"/>
          <w:b/>
          <w:sz w:val="24"/>
        </w:rPr>
        <w:t>flagelos</w:t>
      </w:r>
      <w:r>
        <w:rPr>
          <w:rFonts w:ascii="Times New Roman" w:hAnsi="Times New Roman"/>
          <w:b w:val="0"/>
          <w:sz w:val="24"/>
        </w:rPr>
        <w:t xml:space="preserve">, apéndices filamentosos compuestos por la proteína flagelina, que les permiten desplazarse en medios líquidos mediante movimientos rotatorios. Otros apéndices superficiales incluyen los </w:t>
      </w:r>
      <w:r>
        <w:rPr>
          <w:rFonts w:ascii="Times New Roman" w:hAnsi="Times New Roman"/>
          <w:b/>
          <w:sz w:val="24"/>
        </w:rPr>
        <w:t>pilis o fimbrias</w:t>
      </w:r>
      <w:r>
        <w:rPr>
          <w:rFonts w:ascii="Times New Roman" w:hAnsi="Times New Roman"/>
          <w:b w:val="0"/>
          <w:sz w:val="24"/>
        </w:rPr>
        <w:t>, estructuras proteicas más cortas y delgadas que los flagelos, que intervienen en la adhesión a superficies y en la transferencia de material genético durante la conjugación bacteriana.</w:t>
      </w:r>
    </w:p>
    <w:p>
      <w:pPr>
        <w:pStyle w:val="Heading1"/>
      </w:pPr>
      <w:r>
        <w:t>3. Clasificación de las Bacterias</w:t>
      </w:r>
    </w:p>
    <w:p>
      <w:pPr>
        <w:spacing w:line="360" w:lineRule="auto" w:after="120"/>
        <w:ind w:firstLine="283"/>
        <w:jc w:val="both"/>
      </w:pPr>
      <w:r>
        <w:rPr>
          <w:rFonts w:ascii="Times New Roman" w:hAnsi="Times New Roman"/>
          <w:b w:val="0"/>
          <w:sz w:val="24"/>
        </w:rPr>
        <w:t>Las bacterias pueden clasificarse según múltiples criterios que reflejan su diversidad morfológica, metabólica y estructural. A continuación se presentan las principales categorías de clasificación con sus características definitorias.</w:t>
      </w:r>
    </w:p>
    <w:p>
      <w:pPr>
        <w:pStyle w:val="Heading2"/>
      </w:pPr>
      <w:r>
        <w:t>3.1 Clasificación según la forma</w:t>
      </w:r>
    </w:p>
    <w:p>
      <w:pPr>
        <w:spacing w:line="360" w:lineRule="auto" w:after="120"/>
        <w:ind w:firstLine="283"/>
        <w:jc w:val="both"/>
      </w:pPr>
      <w:r>
        <w:rPr>
          <w:rFonts w:ascii="Times New Roman" w:hAnsi="Times New Roman"/>
          <w:b w:val="0"/>
          <w:sz w:val="24"/>
        </w:rPr>
        <w:t xml:space="preserve">La morfología bacteriana es uno de los criterios más utilizados para la identificación preliminar. Las formas principales incluyen los </w:t>
      </w:r>
      <w:r>
        <w:rPr>
          <w:rFonts w:ascii="Times New Roman" w:hAnsi="Times New Roman"/>
          <w:b/>
          <w:sz w:val="24"/>
        </w:rPr>
        <w:t>bacilos</w:t>
      </w:r>
      <w:r>
        <w:rPr>
          <w:rFonts w:ascii="Times New Roman" w:hAnsi="Times New Roman"/>
          <w:b w:val="0"/>
          <w:sz w:val="24"/>
        </w:rPr>
        <w:t xml:space="preserve"> (bastones alargados, como Escherichia coli y Bacillus subtilis), los </w:t>
      </w:r>
      <w:r>
        <w:rPr>
          <w:rFonts w:ascii="Times New Roman" w:hAnsi="Times New Roman"/>
          <w:b/>
          <w:sz w:val="24"/>
        </w:rPr>
        <w:t>cocos</w:t>
      </w:r>
      <w:r>
        <w:rPr>
          <w:rFonts w:ascii="Times New Roman" w:hAnsi="Times New Roman"/>
          <w:b w:val="0"/>
          <w:sz w:val="24"/>
        </w:rPr>
        <w:t xml:space="preserve"> (esféricos, como Staphylococcus aureus y Streptococcus pneumoniae) y los </w:t>
      </w:r>
      <w:r>
        <w:rPr>
          <w:rFonts w:ascii="Times New Roman" w:hAnsi="Times New Roman"/>
          <w:b/>
          <w:sz w:val="24"/>
        </w:rPr>
        <w:t>espirilos</w:t>
      </w:r>
      <w:r>
        <w:rPr>
          <w:rFonts w:ascii="Times New Roman" w:hAnsi="Times New Roman"/>
          <w:b w:val="0"/>
          <w:sz w:val="24"/>
        </w:rPr>
        <w:t xml:space="preserve"> (forma helicoidal o espiral, como Treponema pallidum y Spirillum volutans). Existen además formas intermedias como los vibrios (bacilos curvados en forma de coma, como Vibrio cholerae) y los espiroquetas (espirilos muy flexibles con filamentos axiales internos).</w:t>
      </w:r>
    </w:p>
    <w:p>
      <w:pPr>
        <w:pStyle w:val="Heading2"/>
      </w:pPr>
      <w:r>
        <w:t>3.2 Clasificación según la respiración</w:t>
      </w:r>
    </w:p>
    <w:p>
      <w:pPr>
        <w:spacing w:line="360" w:lineRule="auto" w:after="120"/>
        <w:ind w:firstLine="283"/>
        <w:jc w:val="both"/>
      </w:pPr>
      <w:r>
        <w:rPr>
          <w:rFonts w:ascii="Times New Roman" w:hAnsi="Times New Roman"/>
          <w:b w:val="0"/>
          <w:sz w:val="24"/>
        </w:rPr>
        <w:t xml:space="preserve">De acuerdo con sus requerimientos de oxígeno, las bacterias se dividen en tres grandes grupos: </w:t>
      </w:r>
      <w:r>
        <w:rPr>
          <w:rFonts w:ascii="Times New Roman" w:hAnsi="Times New Roman"/>
          <w:b/>
          <w:sz w:val="24"/>
        </w:rPr>
        <w:t>aerobias estrictas</w:t>
      </w:r>
      <w:r>
        <w:rPr>
          <w:rFonts w:ascii="Times New Roman" w:hAnsi="Times New Roman"/>
          <w:b w:val="0"/>
          <w:sz w:val="24"/>
        </w:rPr>
        <w:t xml:space="preserve">, que necesitan oxígeno para sobrevivir y llevar a cabo la cadena de transporte de electrones (por ejemplo, Mycobacterium tuberculosis); </w:t>
      </w:r>
      <w:r>
        <w:rPr>
          <w:rFonts w:ascii="Times New Roman" w:hAnsi="Times New Roman"/>
          <w:b/>
          <w:sz w:val="24"/>
        </w:rPr>
        <w:t>anaerobias estrictas</w:t>
      </w:r>
      <w:r>
        <w:rPr>
          <w:rFonts w:ascii="Times New Roman" w:hAnsi="Times New Roman"/>
          <w:b w:val="0"/>
          <w:sz w:val="24"/>
        </w:rPr>
        <w:t xml:space="preserve">, para las cuales el oxígeno es tóxico y obtienen energía mediante fermentación o respiración anaerobia (como Clostridium tetani); y </w:t>
      </w:r>
      <w:r>
        <w:rPr>
          <w:rFonts w:ascii="Times New Roman" w:hAnsi="Times New Roman"/>
          <w:b/>
          <w:sz w:val="24"/>
        </w:rPr>
        <w:t>anaerobias facultativas</w:t>
      </w:r>
      <w:r>
        <w:rPr>
          <w:rFonts w:ascii="Times New Roman" w:hAnsi="Times New Roman"/>
          <w:b w:val="0"/>
          <w:sz w:val="24"/>
        </w:rPr>
        <w:t>, que pueden crecer tanto en presencia como en ausencia de oxígeno, alternando entre respiración aerobia y fermentación según la disponibilidad (Escherichia coli es un ejemplo paradigmático).</w:t>
      </w:r>
    </w:p>
    <w:p>
      <w:pPr>
        <w:pStyle w:val="Heading2"/>
      </w:pPr>
      <w:r>
        <w:t>3.3 Clasificación según la nutrición</w:t>
      </w:r>
    </w:p>
    <w:p>
      <w:pPr>
        <w:spacing w:line="360" w:lineRule="auto" w:after="120"/>
        <w:ind w:firstLine="283"/>
        <w:jc w:val="both"/>
      </w:pPr>
      <w:r>
        <w:rPr>
          <w:rFonts w:ascii="Times New Roman" w:hAnsi="Times New Roman"/>
          <w:b w:val="0"/>
          <w:sz w:val="24"/>
        </w:rPr>
        <w:t xml:space="preserve">Atendiendo a su fuente de carbono y energía, las bacterias se clasifican en: </w:t>
      </w:r>
      <w:r>
        <w:rPr>
          <w:rFonts w:ascii="Times New Roman" w:hAnsi="Times New Roman"/>
          <w:b/>
          <w:sz w:val="24"/>
        </w:rPr>
        <w:t>heterótrofas</w:t>
      </w:r>
      <w:r>
        <w:rPr>
          <w:rFonts w:ascii="Times New Roman" w:hAnsi="Times New Roman"/>
          <w:b w:val="0"/>
          <w:sz w:val="24"/>
        </w:rPr>
        <w:t xml:space="preserve">, que utilizan compuestos orgánicos preformados como fuente de carbono y energía (la mayoría de las bacterias patógenas son heterótrofas); </w:t>
      </w:r>
      <w:r>
        <w:rPr>
          <w:rFonts w:ascii="Times New Roman" w:hAnsi="Times New Roman"/>
          <w:b/>
          <w:sz w:val="24"/>
        </w:rPr>
        <w:t>autótrofas</w:t>
      </w:r>
      <w:r>
        <w:rPr>
          <w:rFonts w:ascii="Times New Roman" w:hAnsi="Times New Roman"/>
          <w:b w:val="0"/>
          <w:sz w:val="24"/>
        </w:rPr>
        <w:t xml:space="preserve">, que emplean dióxido de carbono (CO₂) como fuente de carbono y obtienen energía de la luz (fotoautótrofas, como las cianobacterias) o de reacciones químicas inorgánicas (quimioautótrofas); y las </w:t>
      </w:r>
      <w:r>
        <w:rPr>
          <w:rFonts w:ascii="Times New Roman" w:hAnsi="Times New Roman"/>
          <w:b/>
          <w:sz w:val="24"/>
        </w:rPr>
        <w:t>quimiosintéticas</w:t>
      </w:r>
      <w:r>
        <w:rPr>
          <w:rFonts w:ascii="Times New Roman" w:hAnsi="Times New Roman"/>
          <w:b w:val="0"/>
          <w:sz w:val="24"/>
        </w:rPr>
        <w:t>, un subgrupo de autótrofas que oxidan compuestos inorgánicos (como amoníaco, azufre o hierro ferroso) para generar energía y fijar CO₂, desempeñando un papel crucial en los ciclos biogeoquímicos del nitrógeno y el azufre.</w:t>
      </w:r>
    </w:p>
    <w:p>
      <w:pPr>
        <w:pStyle w:val="Heading2"/>
      </w:pPr>
      <w:r>
        <w:t>3.4 Clasificación según la pared celular: Tinción de Gram</w:t>
      </w:r>
    </w:p>
    <w:p>
      <w:pPr>
        <w:spacing w:line="360" w:lineRule="auto" w:after="120"/>
        <w:ind w:firstLine="283"/>
        <w:jc w:val="both"/>
      </w:pPr>
      <w:r>
        <w:rPr>
          <w:rFonts w:ascii="Times New Roman" w:hAnsi="Times New Roman"/>
          <w:b w:val="0"/>
          <w:sz w:val="24"/>
        </w:rPr>
        <w:t xml:space="preserve">La </w:t>
      </w:r>
      <w:r>
        <w:rPr>
          <w:rFonts w:ascii="Times New Roman" w:hAnsi="Times New Roman"/>
          <w:b/>
          <w:sz w:val="24"/>
        </w:rPr>
        <w:t>tinción de Gram</w:t>
      </w:r>
      <w:r>
        <w:rPr>
          <w:rFonts w:ascii="Times New Roman" w:hAnsi="Times New Roman"/>
          <w:b w:val="0"/>
          <w:sz w:val="24"/>
        </w:rPr>
        <w:t>, desarrollada por Hans Christian Gram en 1884, es el método differential de laboratorio más ampliamente utilizado para clasificar bacterias. Se basa en las diferencias estructurales de la pared celular, que determinan la retención o no del cristal violeta tras la decoloración con alcohol o acetona.</w:t>
      </w:r>
    </w:p>
    <w:p>
      <w:pPr>
        <w:spacing w:after="80" w:before="200"/>
        <w:jc w:val="center"/>
      </w:pPr>
      <w:r>
        <w:rPr>
          <w:rFonts w:ascii="Times New Roman" w:hAnsi="Times New Roman"/>
          <w:b/>
          <w:sz w:val="21"/>
        </w:rPr>
        <w:t>Tabla 2. Comparación entre bacterias Gram positivas y Gram negativas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929"/>
        <w:gridCol w:w="2929"/>
        <w:gridCol w:w="2929"/>
      </w:tblGrid>
      <w:tr>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Característica</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Gram Positivas (+)</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Gram Negativas (−)</w:t>
            </w:r>
          </w:p>
        </w:tc>
      </w:tr>
      <w:tr>
        <w:tc>
          <w:tcPr>
            <w:tcW w:type="dxa" w:w="2929"/>
          </w:tcPr>
          <w:p>
            <w:pPr>
              <w:jc w:val="center"/>
            </w:pPr>
            <w:r/>
            <w:r>
              <w:rPr>
                <w:rFonts w:ascii="Times New Roman" w:hAnsi="Times New Roman"/>
                <w:sz w:val="21"/>
              </w:rPr>
              <w:t>Pared celular</w:t>
            </w:r>
          </w:p>
        </w:tc>
        <w:tc>
          <w:tcPr>
            <w:tcW w:type="dxa" w:w="2929"/>
          </w:tcPr>
          <w:p>
            <w:pPr>
              <w:jc w:val="center"/>
            </w:pPr>
            <w:r/>
            <w:r>
              <w:rPr>
                <w:rFonts w:ascii="Times New Roman" w:hAnsi="Times New Roman"/>
                <w:sz w:val="21"/>
              </w:rPr>
              <w:t>Capa gruesa de peptidoglucano (50–90% del peso seco)</w:t>
            </w:r>
          </w:p>
        </w:tc>
        <w:tc>
          <w:tcPr>
            <w:tcW w:type="dxa" w:w="2929"/>
          </w:tcPr>
          <w:p>
            <w:pPr>
              <w:jc w:val="center"/>
            </w:pPr>
            <w:r/>
            <w:r>
              <w:rPr>
                <w:rFonts w:ascii="Times New Roman" w:hAnsi="Times New Roman"/>
                <w:sz w:val="21"/>
              </w:rPr>
              <w:t>Capa fina de peptidoglucano (5–10%) + membrana externa</w:t>
            </w:r>
          </w:p>
        </w:tc>
      </w:tr>
      <w:tr>
        <w:tc>
          <w:tcPr>
            <w:tcW w:type="dxa" w:w="2929"/>
          </w:tcPr>
          <w:p>
            <w:pPr>
              <w:jc w:val="center"/>
            </w:pPr>
            <w:r/>
            <w:r>
              <w:rPr>
                <w:rFonts w:ascii="Times New Roman" w:hAnsi="Times New Roman"/>
                <w:sz w:val="21"/>
              </w:rPr>
              <w:t>Membrana externa</w:t>
            </w:r>
          </w:p>
        </w:tc>
        <w:tc>
          <w:tcPr>
            <w:tcW w:type="dxa" w:w="2929"/>
          </w:tcPr>
          <w:p>
            <w:pPr>
              <w:jc w:val="center"/>
            </w:pPr>
            <w:r/>
            <w:r>
              <w:rPr>
                <w:rFonts w:ascii="Times New Roman" w:hAnsi="Times New Roman"/>
                <w:sz w:val="21"/>
              </w:rPr>
              <w:t>Ausente</w:t>
            </w:r>
          </w:p>
        </w:tc>
        <w:tc>
          <w:tcPr>
            <w:tcW w:type="dxa" w:w="2929"/>
          </w:tcPr>
          <w:p>
            <w:pPr>
              <w:jc w:val="center"/>
            </w:pPr>
            <w:r/>
            <w:r>
              <w:rPr>
                <w:rFonts w:ascii="Times New Roman" w:hAnsi="Times New Roman"/>
                <w:sz w:val="21"/>
              </w:rPr>
              <w:t>Presente (lipopolisacárido — LPS)</w:t>
            </w:r>
          </w:p>
        </w:tc>
      </w:tr>
      <w:tr>
        <w:tc>
          <w:tcPr>
            <w:tcW w:type="dxa" w:w="2929"/>
          </w:tcPr>
          <w:p>
            <w:pPr>
              <w:jc w:val="center"/>
            </w:pPr>
            <w:r/>
            <w:r>
              <w:rPr>
                <w:rFonts w:ascii="Times New Roman" w:hAnsi="Times New Roman"/>
                <w:sz w:val="21"/>
              </w:rPr>
              <w:t>Ácidos teicoicos</w:t>
            </w:r>
          </w:p>
        </w:tc>
        <w:tc>
          <w:tcPr>
            <w:tcW w:type="dxa" w:w="2929"/>
          </w:tcPr>
          <w:p>
            <w:pPr>
              <w:jc w:val="center"/>
            </w:pPr>
            <w:r/>
            <w:r>
              <w:rPr>
                <w:rFonts w:ascii="Times New Roman" w:hAnsi="Times New Roman"/>
                <w:sz w:val="21"/>
              </w:rPr>
              <w:t>Presentes</w:t>
            </w:r>
          </w:p>
        </w:tc>
        <w:tc>
          <w:tcPr>
            <w:tcW w:type="dxa" w:w="2929"/>
          </w:tcPr>
          <w:p>
            <w:pPr>
              <w:jc w:val="center"/>
            </w:pPr>
            <w:r/>
            <w:r>
              <w:rPr>
                <w:rFonts w:ascii="Times New Roman" w:hAnsi="Times New Roman"/>
                <w:sz w:val="21"/>
              </w:rPr>
              <w:t>Ausentes</w:t>
            </w:r>
          </w:p>
        </w:tc>
      </w:tr>
      <w:tr>
        <w:tc>
          <w:tcPr>
            <w:tcW w:type="dxa" w:w="2929"/>
          </w:tcPr>
          <w:p>
            <w:pPr>
              <w:jc w:val="center"/>
            </w:pPr>
            <w:r/>
            <w:r>
              <w:rPr>
                <w:rFonts w:ascii="Times New Roman" w:hAnsi="Times New Roman"/>
                <w:sz w:val="21"/>
              </w:rPr>
              <w:t>Lipopolisacárido (LPS)</w:t>
            </w:r>
          </w:p>
        </w:tc>
        <w:tc>
          <w:tcPr>
            <w:tcW w:type="dxa" w:w="2929"/>
          </w:tcPr>
          <w:p>
            <w:pPr>
              <w:jc w:val="center"/>
            </w:pPr>
            <w:r/>
            <w:r>
              <w:rPr>
                <w:rFonts w:ascii="Times New Roman" w:hAnsi="Times New Roman"/>
                <w:sz w:val="21"/>
              </w:rPr>
              <w:t>Ausente</w:t>
            </w:r>
          </w:p>
        </w:tc>
        <w:tc>
          <w:tcPr>
            <w:tcW w:type="dxa" w:w="2929"/>
          </w:tcPr>
          <w:p>
            <w:pPr>
              <w:jc w:val="center"/>
            </w:pPr>
            <w:r/>
            <w:r>
              <w:rPr>
                <w:rFonts w:ascii="Times New Roman" w:hAnsi="Times New Roman"/>
                <w:sz w:val="21"/>
              </w:rPr>
              <w:t>Presente (endotoxina)</w:t>
            </w:r>
          </w:p>
        </w:tc>
      </w:tr>
      <w:tr>
        <w:tc>
          <w:tcPr>
            <w:tcW w:type="dxa" w:w="2929"/>
          </w:tcPr>
          <w:p>
            <w:pPr>
              <w:jc w:val="center"/>
            </w:pPr>
            <w:r/>
            <w:r>
              <w:rPr>
                <w:rFonts w:ascii="Times New Roman" w:hAnsi="Times New Roman"/>
                <w:sz w:val="21"/>
              </w:rPr>
              <w:t>Periplasma</w:t>
            </w:r>
          </w:p>
        </w:tc>
        <w:tc>
          <w:tcPr>
            <w:tcW w:type="dxa" w:w="2929"/>
          </w:tcPr>
          <w:p>
            <w:pPr>
              <w:jc w:val="center"/>
            </w:pPr>
            <w:r/>
            <w:r>
              <w:rPr>
                <w:rFonts w:ascii="Times New Roman" w:hAnsi="Times New Roman"/>
                <w:sz w:val="21"/>
              </w:rPr>
              <w:t>Ausente o mínimo</w:t>
            </w:r>
          </w:p>
        </w:tc>
        <w:tc>
          <w:tcPr>
            <w:tcW w:type="dxa" w:w="2929"/>
          </w:tcPr>
          <w:p>
            <w:pPr>
              <w:jc w:val="center"/>
            </w:pPr>
            <w:r/>
            <w:r>
              <w:rPr>
                <w:rFonts w:ascii="Times New Roman" w:hAnsi="Times New Roman"/>
                <w:sz w:val="21"/>
              </w:rPr>
              <w:t>Presente (entre membranas)</w:t>
            </w:r>
          </w:p>
        </w:tc>
      </w:tr>
      <w:tr>
        <w:tc>
          <w:tcPr>
            <w:tcW w:type="dxa" w:w="2929"/>
          </w:tcPr>
          <w:p>
            <w:pPr>
              <w:jc w:val="center"/>
            </w:pPr>
            <w:r/>
            <w:r>
              <w:rPr>
                <w:rFonts w:ascii="Times New Roman" w:hAnsi="Times New Roman"/>
                <w:sz w:val="21"/>
              </w:rPr>
              <w:t>Color tras tinción</w:t>
            </w:r>
          </w:p>
        </w:tc>
        <w:tc>
          <w:tcPr>
            <w:tcW w:type="dxa" w:w="2929"/>
          </w:tcPr>
          <w:p>
            <w:pPr>
              <w:jc w:val="center"/>
            </w:pPr>
            <w:r/>
            <w:r>
              <w:rPr>
                <w:rFonts w:ascii="Times New Roman" w:hAnsi="Times New Roman"/>
                <w:sz w:val="21"/>
              </w:rPr>
              <w:t>Violeta/azul</w:t>
            </w:r>
          </w:p>
        </w:tc>
        <w:tc>
          <w:tcPr>
            <w:tcW w:type="dxa" w:w="2929"/>
          </w:tcPr>
          <w:p>
            <w:pPr>
              <w:jc w:val="center"/>
            </w:pPr>
            <w:r/>
            <w:r>
              <w:rPr>
                <w:rFonts w:ascii="Times New Roman" w:hAnsi="Times New Roman"/>
                <w:sz w:val="21"/>
              </w:rPr>
              <w:t>Rosa/rojo</w:t>
            </w:r>
          </w:p>
        </w:tc>
      </w:tr>
      <w:tr>
        <w:tc>
          <w:tcPr>
            <w:tcW w:type="dxa" w:w="2929"/>
          </w:tcPr>
          <w:p>
            <w:pPr>
              <w:jc w:val="center"/>
            </w:pPr>
            <w:r/>
            <w:r>
              <w:rPr>
                <w:rFonts w:ascii="Times New Roman" w:hAnsi="Times New Roman"/>
                <w:sz w:val="21"/>
              </w:rPr>
              <w:t>Ejemplos</w:t>
            </w:r>
          </w:p>
        </w:tc>
        <w:tc>
          <w:tcPr>
            <w:tcW w:type="dxa" w:w="2929"/>
          </w:tcPr>
          <w:p>
            <w:pPr>
              <w:jc w:val="center"/>
            </w:pPr>
            <w:r/>
            <w:r>
              <w:rPr>
                <w:rFonts w:ascii="Times New Roman" w:hAnsi="Times New Roman"/>
                <w:sz w:val="21"/>
              </w:rPr>
              <w:t>Staphylococcus, Streptococcus, Bacillus</w:t>
            </w:r>
          </w:p>
        </w:tc>
        <w:tc>
          <w:tcPr>
            <w:tcW w:type="dxa" w:w="2929"/>
          </w:tcPr>
          <w:p>
            <w:pPr>
              <w:jc w:val="center"/>
            </w:pPr>
            <w:r/>
            <w:r>
              <w:rPr>
                <w:rFonts w:ascii="Times New Roman" w:hAnsi="Times New Roman"/>
                <w:sz w:val="21"/>
              </w:rPr>
              <w:t>Escherichia, Salmonella, Pseudomonas</w:t>
            </w:r>
          </w:p>
        </w:tc>
      </w:tr>
    </w:tbl>
    <w:p>
      <w:pPr>
        <w:spacing w:before="40" w:after="120"/>
      </w:pPr>
    </w:p>
    <w:p>
      <w:pPr>
        <w:pStyle w:val="Heading1"/>
      </w:pPr>
      <w:r>
        <w:t>4. Estructura Celular Bacteriana</w:t>
      </w:r>
    </w:p>
    <w:p>
      <w:pPr>
        <w:spacing w:line="360" w:lineRule="auto" w:after="120"/>
        <w:ind w:firstLine="283"/>
        <w:jc w:val="both"/>
      </w:pPr>
      <w:r>
        <w:rPr>
          <w:rFonts w:ascii="Times New Roman" w:hAnsi="Times New Roman"/>
          <w:b w:val="0"/>
          <w:sz w:val="24"/>
        </w:rPr>
        <w:t xml:space="preserve">La célula bacteriana posee un conjunto de estructuras que se clasifican en dos grandes grupos: las </w:t>
      </w:r>
      <w:r>
        <w:rPr>
          <w:rFonts w:ascii="Times New Roman" w:hAnsi="Times New Roman"/>
          <w:b/>
          <w:sz w:val="24"/>
        </w:rPr>
        <w:t>estructuras básicas</w:t>
      </w:r>
      <w:r>
        <w:rPr>
          <w:rFonts w:ascii="Times New Roman" w:hAnsi="Times New Roman"/>
          <w:b w:val="0"/>
          <w:sz w:val="24"/>
        </w:rPr>
        <w:t xml:space="preserve">, presentes en prácticamente todas las bacterias, y las </w:t>
      </w:r>
      <w:r>
        <w:rPr>
          <w:rFonts w:ascii="Times New Roman" w:hAnsi="Times New Roman"/>
          <w:b/>
          <w:sz w:val="24"/>
        </w:rPr>
        <w:t>estructuras especializadas</w:t>
      </w:r>
      <w:r>
        <w:rPr>
          <w:rFonts w:ascii="Times New Roman" w:hAnsi="Times New Roman"/>
          <w:b w:val="0"/>
          <w:sz w:val="24"/>
        </w:rPr>
        <w:t>, que solo se encuentran en determinados grupos y confieren ventajas adaptativas específicas.</w:t>
      </w:r>
    </w:p>
    <w:p>
      <w:pPr>
        <w:pStyle w:val="Heading2"/>
      </w:pPr>
      <w:r>
        <w:t>4.1 Estructuras básicas</w:t>
      </w:r>
    </w:p>
    <w:p>
      <w:pPr>
        <w:spacing w:line="360" w:lineRule="auto" w:after="120"/>
        <w:ind w:firstLine="283"/>
        <w:jc w:val="both"/>
      </w:pPr>
      <w:r>
        <w:rPr>
          <w:rFonts w:ascii="Times New Roman" w:hAnsi="Times New Roman"/>
          <w:b w:val="0"/>
          <w:sz w:val="24"/>
        </w:rPr>
        <w:t xml:space="preserve">El </w:t>
      </w:r>
      <w:r>
        <w:rPr>
          <w:rFonts w:ascii="Times New Roman" w:hAnsi="Times New Roman"/>
          <w:b/>
          <w:sz w:val="24"/>
        </w:rPr>
        <w:t>citoplasma</w:t>
      </w:r>
      <w:r>
        <w:rPr>
          <w:rFonts w:ascii="Times New Roman" w:hAnsi="Times New Roman"/>
          <w:b w:val="0"/>
          <w:sz w:val="24"/>
        </w:rPr>
        <w:t xml:space="preserve"> es la matriz semilíquida que ocupa el interior de la célula, compuesta principalmente por agua (aproximadamente 80%), enzimas, nucleótidos, aminoácidos y otras moléculas esenciales para el metabolismo celular. En él se encuentran inmersos los ribosomas y el nucleoide. Los </w:t>
      </w:r>
      <w:r>
        <w:rPr>
          <w:rFonts w:ascii="Times New Roman" w:hAnsi="Times New Roman"/>
          <w:b/>
          <w:sz w:val="24"/>
        </w:rPr>
        <w:t>ribosomas</w:t>
      </w:r>
      <w:r>
        <w:rPr>
          <w:rFonts w:ascii="Times New Roman" w:hAnsi="Times New Roman"/>
          <w:b w:val="0"/>
          <w:sz w:val="24"/>
        </w:rPr>
        <w:t xml:space="preserve"> bacterianos son de tipo 70S (subunidades 50S y 30S), a diferencia de los ribosomas eucariotas que son 80S. Estos orgánulos no membranosos son el sitio de la síntesis proteica y constituyen el </w:t>
      </w:r>
      <w:r>
        <w:rPr>
          <w:rFonts w:ascii="Times New Roman" w:hAnsi="Times New Roman"/>
          <w:b/>
          <w:sz w:val="24"/>
        </w:rPr>
        <w:t>blanco de acción de numerosos antibióticos</w:t>
      </w:r>
      <w:r>
        <w:rPr>
          <w:rFonts w:ascii="Times New Roman" w:hAnsi="Times New Roman"/>
          <w:b w:val="0"/>
          <w:sz w:val="24"/>
        </w:rPr>
        <w:t>, como los aminoglucósidos (que se unen a la subunidad 30S) y los macrólidos (que se unen a la subunidad 50S), lo cual explica su utilidad terapéutica selectiva contra infecciones bacterianas.</w:t>
      </w:r>
    </w:p>
    <w:p>
      <w:pPr>
        <w:spacing w:line="360" w:lineRule="auto" w:after="120"/>
        <w:ind w:firstLine="283"/>
        <w:jc w:val="both"/>
      </w:pPr>
      <w:r>
        <w:rPr>
          <w:rFonts w:ascii="Times New Roman" w:hAnsi="Times New Roman"/>
          <w:b w:val="0"/>
          <w:sz w:val="24"/>
        </w:rPr>
        <w:t xml:space="preserve">El </w:t>
      </w:r>
      <w:r>
        <w:rPr>
          <w:rFonts w:ascii="Times New Roman" w:hAnsi="Times New Roman"/>
          <w:b/>
          <w:sz w:val="24"/>
        </w:rPr>
        <w:t>nucleoide</w:t>
      </w:r>
      <w:r>
        <w:rPr>
          <w:rFonts w:ascii="Times New Roman" w:hAnsi="Times New Roman"/>
          <w:b w:val="0"/>
          <w:sz w:val="24"/>
        </w:rPr>
        <w:t xml:space="preserve"> es la región del citoplasma donde se localiza el cromosoma bacteriano, una molécula de ADN circular de doble cadena que contiene la información genética esencial. La </w:t>
      </w:r>
      <w:r>
        <w:rPr>
          <w:rFonts w:ascii="Times New Roman" w:hAnsi="Times New Roman"/>
          <w:b/>
          <w:sz w:val="24"/>
        </w:rPr>
        <w:t>membrana citoplasmática</w:t>
      </w:r>
      <w:r>
        <w:rPr>
          <w:rFonts w:ascii="Times New Roman" w:hAnsi="Times New Roman"/>
          <w:b w:val="0"/>
          <w:sz w:val="24"/>
        </w:rPr>
        <w:t xml:space="preserve"> (o membrana plasmática) es una bicapa lipídica con proteínas integradas que delimita el contenido celular y regula el transporte de sustancias, la producción de energía mediante la cadena de transporte de electrones y la señalización celular. En bacterias, carece de colesterol, pero contiene hopanoides que cumplen una función estabilizadora análoga.</w:t>
      </w:r>
    </w:p>
    <w:p>
      <w:pPr>
        <w:pStyle w:val="Heading2"/>
      </w:pPr>
      <w:r>
        <w:t>4.2 Estructuras especializadas</w:t>
      </w:r>
    </w:p>
    <w:p>
      <w:pPr>
        <w:spacing w:line="360" w:lineRule="auto" w:after="120"/>
        <w:ind w:firstLine="283"/>
        <w:jc w:val="both"/>
      </w:pPr>
      <w:r>
        <w:rPr>
          <w:rFonts w:ascii="Times New Roman" w:hAnsi="Times New Roman"/>
          <w:b w:val="0"/>
          <w:sz w:val="24"/>
        </w:rPr>
        <w:t xml:space="preserve">La </w:t>
      </w:r>
      <w:r>
        <w:rPr>
          <w:rFonts w:ascii="Times New Roman" w:hAnsi="Times New Roman"/>
          <w:b/>
          <w:sz w:val="24"/>
        </w:rPr>
        <w:t>pared celular</w:t>
      </w:r>
      <w:r>
        <w:rPr>
          <w:rFonts w:ascii="Times New Roman" w:hAnsi="Times New Roman"/>
          <w:b w:val="0"/>
          <w:sz w:val="24"/>
        </w:rPr>
        <w:t xml:space="preserve"> es una estructura rígida exterior a la membrana citoplasmática que mantiene la forma de la célula y previene su lisis osmótica. Como se ha mencionado, su composición difiere entre bacterias Gram positivas y Gram negativas. La </w:t>
      </w:r>
      <w:r>
        <w:rPr>
          <w:rFonts w:ascii="Times New Roman" w:hAnsi="Times New Roman"/>
          <w:b/>
          <w:sz w:val="24"/>
        </w:rPr>
        <w:t>cápsula</w:t>
      </w:r>
      <w:r>
        <w:rPr>
          <w:rFonts w:ascii="Times New Roman" w:hAnsi="Times New Roman"/>
          <w:b w:val="0"/>
          <w:sz w:val="24"/>
        </w:rPr>
        <w:t xml:space="preserve"> es una capa externa de polisacáridos que confiere resistencia a la fagocitosis y contribuye a la virulencia de patógenos como Streptococcus pneumoniae y Klebsiella pneumoniae. Los </w:t>
      </w:r>
      <w:r>
        <w:rPr>
          <w:rFonts w:ascii="Times New Roman" w:hAnsi="Times New Roman"/>
          <w:b/>
          <w:sz w:val="24"/>
        </w:rPr>
        <w:t>flagelos</w:t>
      </w:r>
      <w:r>
        <w:rPr>
          <w:rFonts w:ascii="Times New Roman" w:hAnsi="Times New Roman"/>
          <w:b w:val="0"/>
          <w:sz w:val="24"/>
        </w:rPr>
        <w:t xml:space="preserve"> son apéndices de motilidad compuestos por tres partes: filamento (flagelina), gancho y cuerpo basal con motor rotatorio, que permiten el desplazamiento en medios líquidos mediante quimiotaxis, es decir, el movimiento hacia sustancias atrayentes o alejándose de sustancias repelentes.</w:t>
      </w:r>
    </w:p>
    <w:p>
      <w:pPr>
        <w:pStyle w:val="Heading1"/>
      </w:pPr>
      <w:r>
        <w:t>5. Reproducción y Supervivencia Bacteriana</w:t>
      </w:r>
    </w:p>
    <w:p>
      <w:pPr>
        <w:spacing w:line="360" w:lineRule="auto" w:after="120"/>
        <w:ind w:firstLine="283"/>
        <w:jc w:val="both"/>
      </w:pPr>
      <w:r>
        <w:rPr>
          <w:rFonts w:ascii="Times New Roman" w:hAnsi="Times New Roman"/>
          <w:b w:val="0"/>
          <w:sz w:val="24"/>
        </w:rPr>
        <w:t xml:space="preserve">La reproducción bacteriana se realiza principalmente mediante </w:t>
      </w:r>
      <w:r>
        <w:rPr>
          <w:rFonts w:ascii="Times New Roman" w:hAnsi="Times New Roman"/>
          <w:b/>
          <w:sz w:val="24"/>
        </w:rPr>
        <w:t>fisión binaria</w:t>
      </w:r>
      <w:r>
        <w:rPr>
          <w:rFonts w:ascii="Times New Roman" w:hAnsi="Times New Roman"/>
          <w:b w:val="0"/>
          <w:sz w:val="24"/>
        </w:rPr>
        <w:t>, un proceso asexual en el cual la célula madre se duplica su ADN, crece y se divide en dos células hijas genéticamente idénticas. En condiciones óptimas, algunas bacterias como E. coli pueden dividirse cada 20 minutos, lo que explica su enorme potencial de crecimiento exponencial. Sin embargo, en la naturaleza, el crecimiento se ve limitado por la disponibilidad de nutrientes, la acumulación de desechos y otros factores ambientales.</w:t>
      </w:r>
    </w:p>
    <w:p>
      <w:pPr>
        <w:spacing w:line="360" w:lineRule="auto" w:after="120"/>
        <w:ind w:firstLine="283"/>
        <w:jc w:val="both"/>
      </w:pPr>
      <w:r>
        <w:rPr>
          <w:rFonts w:ascii="Times New Roman" w:hAnsi="Times New Roman"/>
          <w:b w:val="0"/>
          <w:sz w:val="24"/>
        </w:rPr>
        <w:t xml:space="preserve">Aunque la fisión binaria produce células genéticamente idénticas, las bacterias poseen mecanismos de </w:t>
      </w:r>
      <w:r>
        <w:rPr>
          <w:rFonts w:ascii="Times New Roman" w:hAnsi="Times New Roman"/>
          <w:b/>
          <w:sz w:val="24"/>
        </w:rPr>
        <w:t>intercambio genético horizontal</w:t>
      </w:r>
      <w:r>
        <w:rPr>
          <w:rFonts w:ascii="Times New Roman" w:hAnsi="Times New Roman"/>
          <w:b w:val="0"/>
          <w:sz w:val="24"/>
        </w:rPr>
        <w:t xml:space="preserve"> que generan diversidad genética sin necesidad de reproducción sexual. Estos mecanismos incluyen la </w:t>
      </w:r>
      <w:r>
        <w:rPr>
          <w:rFonts w:ascii="Times New Roman" w:hAnsi="Times New Roman"/>
          <w:b/>
          <w:sz w:val="24"/>
        </w:rPr>
        <w:t>conjugación</w:t>
      </w:r>
      <w:r>
        <w:rPr>
          <w:rFonts w:ascii="Times New Roman" w:hAnsi="Times New Roman"/>
          <w:b w:val="0"/>
          <w:sz w:val="24"/>
        </w:rPr>
        <w:t xml:space="preserve"> (transferencia de ADN mediante pilus sexual entre dos bacterias), la </w:t>
      </w:r>
      <w:r>
        <w:rPr>
          <w:rFonts w:ascii="Times New Roman" w:hAnsi="Times New Roman"/>
          <w:b/>
          <w:sz w:val="24"/>
        </w:rPr>
        <w:t>transformación</w:t>
      </w:r>
      <w:r>
        <w:rPr>
          <w:rFonts w:ascii="Times New Roman" w:hAnsi="Times New Roman"/>
          <w:b w:val="0"/>
          <w:sz w:val="24"/>
        </w:rPr>
        <w:t xml:space="preserve"> (captación de ADN libre del medio ambiente) y la </w:t>
      </w:r>
      <w:r>
        <w:rPr>
          <w:rFonts w:ascii="Times New Roman" w:hAnsi="Times New Roman"/>
          <w:b/>
          <w:sz w:val="24"/>
        </w:rPr>
        <w:t>transducción</w:t>
      </w:r>
      <w:r>
        <w:rPr>
          <w:rFonts w:ascii="Times New Roman" w:hAnsi="Times New Roman"/>
          <w:b w:val="0"/>
          <w:sz w:val="24"/>
        </w:rPr>
        <w:t xml:space="preserve"> (transferencia de ADN mediada por bacteriófagos). Estos procesos son clínicamente relevantes porque facilitan la diseminación de genes de resistencia a antibióticos entre poblaciones bacterianas.</w:t>
      </w:r>
    </w:p>
    <w:p>
      <w:pPr>
        <w:spacing w:line="360" w:lineRule="auto" w:after="120"/>
        <w:ind w:firstLine="283"/>
        <w:jc w:val="both"/>
      </w:pPr>
      <w:r>
        <w:rPr>
          <w:rFonts w:ascii="Times New Roman" w:hAnsi="Times New Roman"/>
          <w:b w:val="0"/>
          <w:sz w:val="24"/>
        </w:rPr>
        <w:t xml:space="preserve">Las </w:t>
      </w:r>
      <w:r>
        <w:rPr>
          <w:rFonts w:ascii="Times New Roman" w:hAnsi="Times New Roman"/>
          <w:b/>
          <w:sz w:val="24"/>
        </w:rPr>
        <w:t>biopelículas</w:t>
      </w:r>
      <w:r>
        <w:rPr>
          <w:rFonts w:ascii="Times New Roman" w:hAnsi="Times New Roman"/>
          <w:b w:val="0"/>
          <w:sz w:val="24"/>
        </w:rPr>
        <w:t xml:space="preserve"> son comunidades estructuradas de bacterias adheridas a una superficie y envueltas en una matriz extracelular de exopolisacáridos. Esta forma de crecimiento comunitario confiere mayor resistencia a antibióticos, desinfectantes y respuestas inmunitarias del huésped, lo que convierte a las biopelículas en un problema importante en infecciones crónicas y en contaminación de dispositivos médicos. Las </w:t>
      </w:r>
      <w:r>
        <w:rPr>
          <w:rFonts w:ascii="Times New Roman" w:hAnsi="Times New Roman"/>
          <w:b/>
          <w:sz w:val="24"/>
        </w:rPr>
        <w:t>endosporas</w:t>
      </w:r>
      <w:r>
        <w:rPr>
          <w:rFonts w:ascii="Times New Roman" w:hAnsi="Times New Roman"/>
          <w:b w:val="0"/>
          <w:sz w:val="24"/>
        </w:rPr>
        <w:t>, por su parte, son estructuras de resistencia formadas por ciertos géneros bacterianos (Bacillus y Clostridium) en condiciones de estrés ambiental. Son extremadamente resistentes al calor, la radiación, los desinfectantes y la desecación, pudiendo permanecer viables durante años o incluso siglos, y germinar cuando las condiciones vuelven a ser favorables.</w:t>
      </w:r>
    </w:p>
    <w:p>
      <w:pPr>
        <w:pStyle w:val="Heading1"/>
      </w:pPr>
      <w:r>
        <w:t>6. Los Virus</w:t>
      </w:r>
    </w:p>
    <w:p>
      <w:pPr>
        <w:spacing w:line="360" w:lineRule="auto" w:after="120"/>
        <w:ind w:firstLine="283"/>
        <w:jc w:val="both"/>
      </w:pPr>
      <w:r>
        <w:rPr>
          <w:rFonts w:ascii="Times New Roman" w:hAnsi="Times New Roman"/>
          <w:b w:val="0"/>
          <w:sz w:val="24"/>
        </w:rPr>
        <w:t xml:space="preserve">Los virus son </w:t>
      </w:r>
      <w:r>
        <w:rPr>
          <w:rFonts w:ascii="Times New Roman" w:hAnsi="Times New Roman"/>
          <w:b/>
          <w:sz w:val="24"/>
        </w:rPr>
        <w:t>entes biológicos microscópicos</w:t>
      </w:r>
      <w:r>
        <w:rPr>
          <w:rFonts w:ascii="Times New Roman" w:hAnsi="Times New Roman"/>
          <w:b w:val="0"/>
          <w:sz w:val="24"/>
        </w:rPr>
        <w:t xml:space="preserve"> que se sitúan en el límite entre lo vivo y lo inerte. Carecen de </w:t>
      </w:r>
      <w:r>
        <w:rPr>
          <w:rFonts w:ascii="Times New Roman" w:hAnsi="Times New Roman"/>
          <w:b/>
          <w:sz w:val="24"/>
        </w:rPr>
        <w:t>metabolismo propio</w:t>
      </w:r>
      <w:r>
        <w:rPr>
          <w:rFonts w:ascii="Times New Roman" w:hAnsi="Times New Roman"/>
          <w:b w:val="0"/>
          <w:sz w:val="24"/>
        </w:rPr>
        <w:t xml:space="preserve">, es decir, no poseen maquinaria enzimática para generar ATP, sintetizar proteínas ni replicar su material genético de forma independiente. Por esta razón, se les denomina </w:t>
      </w:r>
      <w:r>
        <w:rPr>
          <w:rFonts w:ascii="Times New Roman" w:hAnsi="Times New Roman"/>
          <w:b/>
          <w:sz w:val="24"/>
        </w:rPr>
        <w:t>parásitos obligados</w:t>
      </w:r>
      <w:r>
        <w:rPr>
          <w:rFonts w:ascii="Times New Roman" w:hAnsi="Times New Roman"/>
          <w:b w:val="0"/>
          <w:sz w:val="24"/>
        </w:rPr>
        <w:t xml:space="preserve">, ya que dependen por completo de la maquinaria metabólica de una célula huésped para replicarse. Un virus fuera de su célula huésped recibe el nombre de </w:t>
      </w:r>
      <w:r>
        <w:rPr>
          <w:rFonts w:ascii="Times New Roman" w:hAnsi="Times New Roman"/>
          <w:b/>
          <w:sz w:val="24"/>
        </w:rPr>
        <w:t>virión</w:t>
      </w:r>
      <w:r>
        <w:rPr>
          <w:rFonts w:ascii="Times New Roman" w:hAnsi="Times New Roman"/>
          <w:b w:val="0"/>
          <w:sz w:val="24"/>
        </w:rPr>
        <w:t>, y está compuesto fundamentalmente por un ácido nucleico (ADN o ARN) rodeado por una cápside proteica; algunos poseen además una envoltura lipídica externa derivada de la membrana de la célula huésped.</w:t>
      </w:r>
    </w:p>
    <w:p>
      <w:pPr>
        <w:spacing w:line="360" w:lineRule="auto" w:after="120"/>
        <w:ind w:firstLine="283"/>
        <w:jc w:val="both"/>
      </w:pPr>
      <w:r>
        <w:rPr>
          <w:rFonts w:ascii="Times New Roman" w:hAnsi="Times New Roman"/>
          <w:b w:val="0"/>
          <w:sz w:val="24"/>
        </w:rPr>
        <w:t>El tamaño de los virus oscila entre 20 y 300 nm, considerablemente menor que el de las bacterias, lo que hace necesaria la microscopía electrónica para su visualización directa. A diferencia de las células, los virus no crecen ni se dividen; en su lugar, se ensamblan a partir de componentes sintetizados por la célula infectada. Su especificidad por el huésped está determinada por la interacción entre las proteínas de la superficie viral y los receptores de la célula diana, lo que explica por qué ciertos virus infectan solo un tipo celular o una especie determinada.</w:t>
      </w:r>
    </w:p>
    <w:p>
      <w:pPr>
        <w:pStyle w:val="Heading1"/>
      </w:pPr>
      <w:r>
        <w:t>7. Clasificación Morfológica Viral</w:t>
      </w:r>
    </w:p>
    <w:p>
      <w:pPr>
        <w:spacing w:line="360" w:lineRule="auto" w:after="120"/>
        <w:ind w:firstLine="283"/>
        <w:jc w:val="both"/>
      </w:pPr>
      <w:r>
        <w:rPr>
          <w:rFonts w:ascii="Times New Roman" w:hAnsi="Times New Roman"/>
          <w:b w:val="0"/>
          <w:sz w:val="24"/>
        </w:rPr>
        <w:t>La morfología viral se define por la simetría de la cápside y la presencia o ausencia de envoltura lipídica. El sistema de clasificación del Comité Internacional de Taxonomía de Virus (ICTV) reconoce cuatro tipos morfológicos principales, cada uno con ejemplos clínicamente significativos.</w:t>
      </w:r>
    </w:p>
    <w:p>
      <w:pPr>
        <w:spacing w:after="80" w:before="200"/>
        <w:jc w:val="center"/>
      </w:pPr>
      <w:r>
        <w:rPr>
          <w:rFonts w:ascii="Times New Roman" w:hAnsi="Times New Roman"/>
          <w:b/>
          <w:sz w:val="21"/>
        </w:rPr>
        <w:t>Tabla 3. Clasificación morfológica de los virus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929"/>
        <w:gridCol w:w="2929"/>
        <w:gridCol w:w="2929"/>
      </w:tblGrid>
      <w:tr>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Tipo Morfológico</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Descripción</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Ejemplo Clínico</w:t>
            </w:r>
          </w:p>
        </w:tc>
      </w:tr>
      <w:tr>
        <w:tc>
          <w:tcPr>
            <w:tcW w:type="dxa" w:w="2929"/>
          </w:tcPr>
          <w:p>
            <w:pPr>
              <w:jc w:val="center"/>
            </w:pPr>
            <w:r/>
            <w:r>
              <w:rPr>
                <w:rFonts w:ascii="Times New Roman" w:hAnsi="Times New Roman"/>
                <w:sz w:val="21"/>
              </w:rPr>
              <w:t>Helicoidal</w:t>
            </w:r>
          </w:p>
        </w:tc>
        <w:tc>
          <w:tcPr>
            <w:tcW w:type="dxa" w:w="2929"/>
          </w:tcPr>
          <w:p>
            <w:pPr>
              <w:jc w:val="center"/>
            </w:pPr>
            <w:r/>
            <w:r>
              <w:rPr>
                <w:rFonts w:ascii="Times New Roman" w:hAnsi="Times New Roman"/>
                <w:sz w:val="21"/>
              </w:rPr>
              <w:t>Cápside con simetría helicoidal; cápside enrollada como resorte alrededor del ácido nucleico</w:t>
            </w:r>
          </w:p>
        </w:tc>
        <w:tc>
          <w:tcPr>
            <w:tcW w:type="dxa" w:w="2929"/>
          </w:tcPr>
          <w:p>
            <w:pPr>
              <w:jc w:val="center"/>
            </w:pPr>
            <w:r/>
            <w:r>
              <w:rPr>
                <w:rFonts w:ascii="Times New Roman" w:hAnsi="Times New Roman"/>
                <w:sz w:val="21"/>
              </w:rPr>
              <w:t>Virus del Ébola, virus de la rabia</w:t>
            </w:r>
          </w:p>
        </w:tc>
      </w:tr>
      <w:tr>
        <w:tc>
          <w:tcPr>
            <w:tcW w:type="dxa" w:w="2929"/>
          </w:tcPr>
          <w:p>
            <w:pPr>
              <w:jc w:val="center"/>
            </w:pPr>
            <w:r/>
            <w:r>
              <w:rPr>
                <w:rFonts w:ascii="Times New Roman" w:hAnsi="Times New Roman"/>
                <w:sz w:val="21"/>
              </w:rPr>
              <w:t>Icosaédrico (Adenovirus)</w:t>
            </w:r>
          </w:p>
        </w:tc>
        <w:tc>
          <w:tcPr>
            <w:tcW w:type="dxa" w:w="2929"/>
          </w:tcPr>
          <w:p>
            <w:pPr>
              <w:jc w:val="center"/>
            </w:pPr>
            <w:r/>
            <w:r>
              <w:rPr>
                <w:rFonts w:ascii="Times New Roman" w:hAnsi="Times New Roman"/>
                <w:sz w:val="21"/>
              </w:rPr>
              <w:t>Cápside con simetría icosaédrica (20 caras triangulares); estructura geométrica regular</w:t>
            </w:r>
          </w:p>
        </w:tc>
        <w:tc>
          <w:tcPr>
            <w:tcW w:type="dxa" w:w="2929"/>
          </w:tcPr>
          <w:p>
            <w:pPr>
              <w:jc w:val="center"/>
            </w:pPr>
            <w:r/>
            <w:r>
              <w:rPr>
                <w:rFonts w:ascii="Times New Roman" w:hAnsi="Times New Roman"/>
                <w:sz w:val="21"/>
              </w:rPr>
              <w:t>Adenovirus, virus de la poliomielitis, rotavirus</w:t>
            </w:r>
          </w:p>
        </w:tc>
      </w:tr>
      <w:tr>
        <w:tc>
          <w:tcPr>
            <w:tcW w:type="dxa" w:w="2929"/>
          </w:tcPr>
          <w:p>
            <w:pPr>
              <w:jc w:val="center"/>
            </w:pPr>
            <w:r/>
            <w:r>
              <w:rPr>
                <w:rFonts w:ascii="Times New Roman" w:hAnsi="Times New Roman"/>
                <w:sz w:val="21"/>
              </w:rPr>
              <w:t>Envelopado (con envoltura)</w:t>
            </w:r>
          </w:p>
        </w:tc>
        <w:tc>
          <w:tcPr>
            <w:tcW w:type="dxa" w:w="2929"/>
          </w:tcPr>
          <w:p>
            <w:pPr>
              <w:jc w:val="center"/>
            </w:pPr>
            <w:r/>
            <w:r>
              <w:rPr>
                <w:rFonts w:ascii="Times New Roman" w:hAnsi="Times New Roman"/>
                <w:sz w:val="21"/>
              </w:rPr>
              <w:t>Cápside envuelta por una bicapa lipídica derivada de la membrana del huésped; proteínas virales de superficie (spikes)</w:t>
            </w:r>
          </w:p>
        </w:tc>
        <w:tc>
          <w:tcPr>
            <w:tcW w:type="dxa" w:w="2929"/>
          </w:tcPr>
          <w:p>
            <w:pPr>
              <w:jc w:val="center"/>
            </w:pPr>
            <w:r/>
            <w:r>
              <w:rPr>
                <w:rFonts w:ascii="Times New Roman" w:hAnsi="Times New Roman"/>
                <w:sz w:val="21"/>
              </w:rPr>
              <w:t>VIH, SARS-CoV-2, virus de la influenza</w:t>
            </w:r>
          </w:p>
        </w:tc>
      </w:tr>
      <w:tr>
        <w:tc>
          <w:tcPr>
            <w:tcW w:type="dxa" w:w="2929"/>
          </w:tcPr>
          <w:p>
            <w:pPr>
              <w:jc w:val="center"/>
            </w:pPr>
            <w:r/>
            <w:r>
              <w:rPr>
                <w:rFonts w:ascii="Times New Roman" w:hAnsi="Times New Roman"/>
                <w:sz w:val="21"/>
              </w:rPr>
              <w:t>Complejo</w:t>
            </w:r>
          </w:p>
        </w:tc>
        <w:tc>
          <w:tcPr>
            <w:tcW w:type="dxa" w:w="2929"/>
          </w:tcPr>
          <w:p>
            <w:pPr>
              <w:jc w:val="center"/>
            </w:pPr>
            <w:r/>
            <w:r>
              <w:rPr>
                <w:rFonts w:ascii="Times New Roman" w:hAnsi="Times New Roman"/>
                <w:sz w:val="21"/>
              </w:rPr>
              <w:t>Estructura que no encaja en simetría helicoidal ni icosaédrica; morfología atípica</w:t>
            </w:r>
          </w:p>
        </w:tc>
        <w:tc>
          <w:tcPr>
            <w:tcW w:type="dxa" w:w="2929"/>
          </w:tcPr>
          <w:p>
            <w:pPr>
              <w:jc w:val="center"/>
            </w:pPr>
            <w:r/>
            <w:r>
              <w:rPr>
                <w:rFonts w:ascii="Times New Roman" w:hAnsi="Times New Roman"/>
                <w:sz w:val="21"/>
              </w:rPr>
              <w:t>Poxvirus (virus de la viruela)</w:t>
            </w:r>
          </w:p>
        </w:tc>
      </w:tr>
    </w:tbl>
    <w:p>
      <w:pPr>
        <w:spacing w:before="40" w:after="120"/>
      </w:pPr>
    </w:p>
    <w:p>
      <w:pPr>
        <w:spacing w:line="360" w:lineRule="auto" w:after="120"/>
        <w:ind w:firstLine="283"/>
        <w:jc w:val="both"/>
      </w:pPr>
      <w:r>
        <w:rPr>
          <w:rFonts w:ascii="Times New Roman" w:hAnsi="Times New Roman"/>
          <w:b w:val="0"/>
          <w:sz w:val="24"/>
        </w:rPr>
        <w:t xml:space="preserve">Es importante destacar que la presencia de </w:t>
      </w:r>
      <w:r>
        <w:rPr>
          <w:rFonts w:ascii="Times New Roman" w:hAnsi="Times New Roman"/>
          <w:b/>
          <w:sz w:val="24"/>
        </w:rPr>
        <w:t>envoltura lipídica</w:t>
      </w:r>
      <w:r>
        <w:rPr>
          <w:rFonts w:ascii="Times New Roman" w:hAnsi="Times New Roman"/>
          <w:b w:val="0"/>
          <w:sz w:val="24"/>
        </w:rPr>
        <w:t xml:space="preserve"> tiene implicaciones prácticas relevantes: los virus envelopados son más sensibles a detergentes, desinfectantes y condiciones ambientales adversas (deshidratación, calor), mientras que los virus no envelopados (nudos) son más resistentes en el ambiente exterior. Esta diferencia es crucial para las estrategias de desinfección y control de infecciones en entornos hospitalarios.</w:t>
      </w:r>
    </w:p>
    <w:p>
      <w:pPr>
        <w:pStyle w:val="Heading1"/>
      </w:pPr>
      <w:r>
        <w:t>8. Clasificación por Composición y Ácido Nucleico</w:t>
      </w:r>
    </w:p>
    <w:p>
      <w:pPr>
        <w:spacing w:line="360" w:lineRule="auto" w:after="120"/>
        <w:ind w:firstLine="283"/>
        <w:jc w:val="both"/>
      </w:pPr>
      <w:r>
        <w:rPr>
          <w:rFonts w:ascii="Times New Roman" w:hAnsi="Times New Roman"/>
          <w:b w:val="0"/>
          <w:sz w:val="24"/>
        </w:rPr>
        <w:t>Además de la morfología, los virus se clasifican según la naturaleza de su genoma, que puede estar constituido por ADN o ARN, y presentarse en forma monocatenaria (simple cadena, ss) o bicatenaria (doble cadena, ds). Esta clasificación es fundamental porque determina la estrategia de replicación del virus y, en muchos casos, su patogenicidad y las opciones terapéuticas disponibles.</w:t>
      </w:r>
    </w:p>
    <w:p>
      <w:pPr>
        <w:pStyle w:val="Heading2"/>
      </w:pPr>
      <w:r>
        <w:t>8.1 Virus de ADN</w:t>
      </w:r>
    </w:p>
    <w:p>
      <w:pPr>
        <w:spacing w:line="360" w:lineRule="auto" w:after="120"/>
        <w:ind w:firstLine="283"/>
        <w:jc w:val="both"/>
      </w:pPr>
      <w:r>
        <w:rPr>
          <w:rFonts w:ascii="Times New Roman" w:hAnsi="Times New Roman"/>
          <w:b w:val="0"/>
          <w:sz w:val="24"/>
        </w:rPr>
        <w:t xml:space="preserve">Los virus de ADN poseen un genoma compuesto por ácido desoxirribonucleico. Pueden ser </w:t>
      </w:r>
      <w:r>
        <w:rPr>
          <w:rFonts w:ascii="Times New Roman" w:hAnsi="Times New Roman"/>
          <w:b/>
          <w:sz w:val="24"/>
        </w:rPr>
        <w:t>bicatenarios (dsADN)</w:t>
      </w:r>
      <w:r>
        <w:rPr>
          <w:rFonts w:ascii="Times New Roman" w:hAnsi="Times New Roman"/>
          <w:b w:val="0"/>
          <w:sz w:val="24"/>
        </w:rPr>
        <w:t xml:space="preserve">, como los herpesvirus (virus del herpes simple, varicela-zóster y citomegalovirus), los adenovirus y los poxvirus, que replican su genoma utilizando ADN polimerasas viral o celular; o </w:t>
      </w:r>
      <w:r>
        <w:rPr>
          <w:rFonts w:ascii="Times New Roman" w:hAnsi="Times New Roman"/>
          <w:b/>
          <w:sz w:val="24"/>
        </w:rPr>
        <w:t>monocatenarios (ssADN)</w:t>
      </w:r>
      <w:r>
        <w:rPr>
          <w:rFonts w:ascii="Times New Roman" w:hAnsi="Times New Roman"/>
          <w:b w:val="0"/>
          <w:sz w:val="24"/>
        </w:rPr>
        <w:t>, como los parvovirus (incluyendo B19, agente del eritema infeccioso), que deben convertir su ADN de cadena simple en doble cadena antes de la replicación. En general, los virus de ADN tienden a ser más estables genéticamente que los de ARN debido a la mayor fidelidad de las ADN polimerasas.</w:t>
      </w:r>
    </w:p>
    <w:p>
      <w:pPr>
        <w:pStyle w:val="Heading2"/>
      </w:pPr>
      <w:r>
        <w:t>8.2 Virus de ARN</w:t>
      </w:r>
    </w:p>
    <w:p>
      <w:pPr>
        <w:spacing w:line="360" w:lineRule="auto" w:after="120"/>
        <w:ind w:firstLine="283"/>
        <w:jc w:val="both"/>
      </w:pPr>
      <w:r>
        <w:rPr>
          <w:rFonts w:ascii="Times New Roman" w:hAnsi="Times New Roman"/>
          <w:b w:val="0"/>
          <w:sz w:val="24"/>
        </w:rPr>
        <w:t>Los virus de ARN representan el grupo más numeroso y diverso de virus. Su genoma está compuesto por ácido ribonucleico, y la mayoría presenta una tasa de mutación elevada debido a la falta de capacidad correctora de las ARN polimerasas virales, lo que les confiere gran variabilidad genética y capacidad de evasión inmunitaria. Se distinguen varios subtipos importantes.</w:t>
      </w:r>
    </w:p>
    <w:p>
      <w:pPr>
        <w:spacing w:line="360" w:lineRule="auto" w:after="120"/>
        <w:ind w:firstLine="283"/>
        <w:jc w:val="both"/>
      </w:pPr>
      <w:r>
        <w:rPr>
          <w:rFonts w:ascii="Times New Roman" w:hAnsi="Times New Roman"/>
          <w:b w:val="0"/>
          <w:sz w:val="24"/>
        </w:rPr>
        <w:t xml:space="preserve">Los </w:t>
      </w:r>
      <w:r>
        <w:rPr>
          <w:rFonts w:ascii="Times New Roman" w:hAnsi="Times New Roman"/>
          <w:b/>
          <w:sz w:val="24"/>
        </w:rPr>
        <w:t>retrovirus</w:t>
      </w:r>
      <w:r>
        <w:rPr>
          <w:rFonts w:ascii="Times New Roman" w:hAnsi="Times New Roman"/>
          <w:b w:val="0"/>
          <w:sz w:val="24"/>
        </w:rPr>
        <w:t xml:space="preserve"> son virus de ARN monocatenario que utilizan una enzima única, la </w:t>
      </w:r>
      <w:r>
        <w:rPr>
          <w:rFonts w:ascii="Times New Roman" w:hAnsi="Times New Roman"/>
          <w:b/>
          <w:sz w:val="24"/>
        </w:rPr>
        <w:t>transcriptasa inversa</w:t>
      </w:r>
      <w:r>
        <w:rPr>
          <w:rFonts w:ascii="Times New Roman" w:hAnsi="Times New Roman"/>
          <w:b w:val="0"/>
          <w:sz w:val="24"/>
        </w:rPr>
        <w:t xml:space="preserve">, para convertir su ARN en ADN proviral, que se integra en el genoma del huésped. El </w:t>
      </w:r>
      <w:r>
        <w:rPr>
          <w:rFonts w:ascii="Times New Roman" w:hAnsi="Times New Roman"/>
          <w:b/>
          <w:sz w:val="24"/>
        </w:rPr>
        <w:t>VIH (Virus de la Inmunodeficiencia Humana)</w:t>
      </w:r>
      <w:r>
        <w:rPr>
          <w:rFonts w:ascii="Times New Roman" w:hAnsi="Times New Roman"/>
          <w:b w:val="0"/>
          <w:sz w:val="24"/>
        </w:rPr>
        <w:t xml:space="preserve"> es el retrovirus más conocido y agente causal del síndrome de inmunodeficiencia adquirida (SIDA). La integración del provirus permite la latencia viral, lo que dificulta la erradicación de la infección.</w:t>
      </w:r>
    </w:p>
    <w:p>
      <w:pPr>
        <w:spacing w:line="360" w:lineRule="auto" w:after="120"/>
        <w:ind w:firstLine="283"/>
        <w:jc w:val="both"/>
      </w:pPr>
      <w:r>
        <w:rPr>
          <w:rFonts w:ascii="Times New Roman" w:hAnsi="Times New Roman"/>
          <w:b w:val="0"/>
          <w:sz w:val="24"/>
        </w:rPr>
        <w:t xml:space="preserve">Otros virus de ARN se clasifican según la polaridad de su genoma: los de </w:t>
      </w:r>
      <w:r>
        <w:rPr>
          <w:rFonts w:ascii="Times New Roman" w:hAnsi="Times New Roman"/>
          <w:b/>
          <w:sz w:val="24"/>
        </w:rPr>
        <w:t>ARN monocatenario positivo (+)ssARN</w:t>
      </w:r>
      <w:r>
        <w:rPr>
          <w:rFonts w:ascii="Times New Roman" w:hAnsi="Times New Roman"/>
          <w:b w:val="0"/>
          <w:sz w:val="24"/>
        </w:rPr>
        <w:t xml:space="preserve"> funcionan directamente como ARN mensajero y pueden ser traducidos inmediatamente por los ribosomas del huésped (ejemplos: coronavirus como SARS-CoV-2, virus de la poliomielitis, virus de la hepatitis C); mientras que los de </w:t>
      </w:r>
      <w:r>
        <w:rPr>
          <w:rFonts w:ascii="Times New Roman" w:hAnsi="Times New Roman"/>
          <w:b/>
          <w:sz w:val="24"/>
        </w:rPr>
        <w:t>ARN monocadenario negativo (−)ssARN</w:t>
      </w:r>
      <w:r>
        <w:rPr>
          <w:rFonts w:ascii="Times New Roman" w:hAnsi="Times New Roman"/>
          <w:b w:val="0"/>
          <w:sz w:val="24"/>
        </w:rPr>
        <w:t xml:space="preserve"> necesitan ser transcritos a ARN complementario positivo por una ARN polimerasa viral (ARN polimerasa dependiente de ARN) antes de poder ser traducidos (ejemplos: virus de la influenza, virus del Ébola, virus de la rabia). Adicionalmente, existen virus de ARN bicatenario (dsARN), como los rotavirus, que contienen segmentos de ARN de doble cadena y son causa importante de gastroenteritis en niños.</w:t>
      </w:r>
    </w:p>
    <w:p>
      <w:pPr>
        <w:spacing w:after="80" w:before="200"/>
        <w:jc w:val="center"/>
      </w:pPr>
      <w:r>
        <w:rPr>
          <w:rFonts w:ascii="Times New Roman" w:hAnsi="Times New Roman"/>
          <w:b/>
          <w:sz w:val="21"/>
        </w:rPr>
        <w:t>Tabla 4. Clasificación viral por tipo de ácido nucleico</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929"/>
        <w:gridCol w:w="2929"/>
        <w:gridCol w:w="2929"/>
      </w:tblGrid>
      <w:tr>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Tipo de Ácido Nucleico</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Subtipo</w:t>
            </w:r>
          </w:p>
        </w:tc>
        <w:tc>
          <w:tcPr>
            <w:tcW w:type="dxa" w:w="2929"/>
            <w:tcBorders>
              <w:bottom w:val="single" w:sz="4" w:space="0" w:color="000000"/>
              <w:top w:val="none" w:sz="0" w:space="0" w:color="000000"/>
              <w:left w:val="none" w:sz="0" w:space="0" w:color="000000"/>
              <w:right w:val="none" w:sz="0" w:space="0" w:color="000000"/>
            </w:tcBorders>
          </w:tcPr>
          <w:p>
            <w:pPr>
              <w:jc w:val="center"/>
            </w:pPr>
            <w:r/>
            <w:r>
              <w:rPr>
                <w:rFonts w:ascii="Times New Roman" w:hAnsi="Times New Roman"/>
                <w:b/>
                <w:sz w:val="21"/>
              </w:rPr>
              <w:t>Ejemplos Representativos</w:t>
            </w:r>
          </w:p>
        </w:tc>
      </w:tr>
      <w:tr>
        <w:tc>
          <w:tcPr>
            <w:tcW w:type="dxa" w:w="2929"/>
          </w:tcPr>
          <w:p>
            <w:pPr>
              <w:jc w:val="center"/>
            </w:pPr>
            <w:r/>
            <w:r>
              <w:rPr>
                <w:rFonts w:ascii="Times New Roman" w:hAnsi="Times New Roman"/>
                <w:sz w:val="21"/>
              </w:rPr>
              <w:t>ADN bicatenario (dsADN)</w:t>
            </w:r>
          </w:p>
        </w:tc>
        <w:tc>
          <w:tcPr>
            <w:tcW w:type="dxa" w:w="2929"/>
          </w:tcPr>
          <w:p>
            <w:pPr>
              <w:jc w:val="center"/>
            </w:pPr>
            <w:r/>
            <w:r>
              <w:rPr>
                <w:rFonts w:ascii="Times New Roman" w:hAnsi="Times New Roman"/>
                <w:sz w:val="21"/>
              </w:rPr>
              <w:t>Genoma de doble cadena</w:t>
            </w:r>
          </w:p>
        </w:tc>
        <w:tc>
          <w:tcPr>
            <w:tcW w:type="dxa" w:w="2929"/>
          </w:tcPr>
          <w:p>
            <w:pPr>
              <w:jc w:val="center"/>
            </w:pPr>
            <w:r/>
            <w:r>
              <w:rPr>
                <w:rFonts w:ascii="Times New Roman" w:hAnsi="Times New Roman"/>
                <w:sz w:val="21"/>
              </w:rPr>
              <w:t>Herpesvirus, Adenovirus, Poxvirus</w:t>
            </w:r>
          </w:p>
        </w:tc>
      </w:tr>
      <w:tr>
        <w:tc>
          <w:tcPr>
            <w:tcW w:type="dxa" w:w="2929"/>
          </w:tcPr>
          <w:p>
            <w:pPr>
              <w:jc w:val="center"/>
            </w:pPr>
            <w:r/>
            <w:r>
              <w:rPr>
                <w:rFonts w:ascii="Times New Roman" w:hAnsi="Times New Roman"/>
                <w:sz w:val="21"/>
              </w:rPr>
              <w:t>ADN monocatenario (ssADN)</w:t>
            </w:r>
          </w:p>
        </w:tc>
        <w:tc>
          <w:tcPr>
            <w:tcW w:type="dxa" w:w="2929"/>
          </w:tcPr>
          <w:p>
            <w:pPr>
              <w:jc w:val="center"/>
            </w:pPr>
            <w:r/>
            <w:r>
              <w:rPr>
                <w:rFonts w:ascii="Times New Roman" w:hAnsi="Times New Roman"/>
                <w:sz w:val="21"/>
              </w:rPr>
              <w:t>Genoma de cadena simple</w:t>
            </w:r>
          </w:p>
        </w:tc>
        <w:tc>
          <w:tcPr>
            <w:tcW w:type="dxa" w:w="2929"/>
          </w:tcPr>
          <w:p>
            <w:pPr>
              <w:jc w:val="center"/>
            </w:pPr>
            <w:r/>
            <w:r>
              <w:rPr>
                <w:rFonts w:ascii="Times New Roman" w:hAnsi="Times New Roman"/>
                <w:sz w:val="21"/>
              </w:rPr>
              <w:t>Parvovirus B19</w:t>
            </w:r>
          </w:p>
        </w:tc>
      </w:tr>
      <w:tr>
        <w:tc>
          <w:tcPr>
            <w:tcW w:type="dxa" w:w="2929"/>
          </w:tcPr>
          <w:p>
            <w:pPr>
              <w:jc w:val="center"/>
            </w:pPr>
            <w:r/>
            <w:r>
              <w:rPr>
                <w:rFonts w:ascii="Times New Roman" w:hAnsi="Times New Roman"/>
                <w:sz w:val="21"/>
              </w:rPr>
              <w:t>ARN bicatenario (dsARN)</w:t>
            </w:r>
          </w:p>
        </w:tc>
        <w:tc>
          <w:tcPr>
            <w:tcW w:type="dxa" w:w="2929"/>
          </w:tcPr>
          <w:p>
            <w:pPr>
              <w:jc w:val="center"/>
            </w:pPr>
            <w:r/>
            <w:r>
              <w:rPr>
                <w:rFonts w:ascii="Times New Roman" w:hAnsi="Times New Roman"/>
                <w:sz w:val="21"/>
              </w:rPr>
              <w:t>Genoma segmentado de doble cadena</w:t>
            </w:r>
          </w:p>
        </w:tc>
        <w:tc>
          <w:tcPr>
            <w:tcW w:type="dxa" w:w="2929"/>
          </w:tcPr>
          <w:p>
            <w:pPr>
              <w:jc w:val="center"/>
            </w:pPr>
            <w:r/>
            <w:r>
              <w:rPr>
                <w:rFonts w:ascii="Times New Roman" w:hAnsi="Times New Roman"/>
                <w:sz w:val="21"/>
              </w:rPr>
              <w:t>Rotavirus</w:t>
            </w:r>
          </w:p>
        </w:tc>
      </w:tr>
      <w:tr>
        <w:tc>
          <w:tcPr>
            <w:tcW w:type="dxa" w:w="2929"/>
          </w:tcPr>
          <w:p>
            <w:pPr>
              <w:jc w:val="center"/>
            </w:pPr>
            <w:r/>
            <w:r>
              <w:rPr>
                <w:rFonts w:ascii="Times New Roman" w:hAnsi="Times New Roman"/>
                <w:sz w:val="21"/>
              </w:rPr>
              <w:t>ARN monocatenario (+)</w:t>
            </w:r>
          </w:p>
        </w:tc>
        <w:tc>
          <w:tcPr>
            <w:tcW w:type="dxa" w:w="2929"/>
          </w:tcPr>
          <w:p>
            <w:pPr>
              <w:jc w:val="center"/>
            </w:pPr>
            <w:r/>
            <w:r>
              <w:rPr>
                <w:rFonts w:ascii="Times New Roman" w:hAnsi="Times New Roman"/>
                <w:sz w:val="21"/>
              </w:rPr>
              <w:t>Polaridad positiva (sirve como ARNm)</w:t>
            </w:r>
          </w:p>
        </w:tc>
        <w:tc>
          <w:tcPr>
            <w:tcW w:type="dxa" w:w="2929"/>
          </w:tcPr>
          <w:p>
            <w:pPr>
              <w:jc w:val="center"/>
            </w:pPr>
            <w:r/>
            <w:r>
              <w:rPr>
                <w:rFonts w:ascii="Times New Roman" w:hAnsi="Times New Roman"/>
                <w:sz w:val="21"/>
              </w:rPr>
              <w:t>SARS-CoV-2, Poliovirus, VHC</w:t>
            </w:r>
          </w:p>
        </w:tc>
      </w:tr>
      <w:tr>
        <w:tc>
          <w:tcPr>
            <w:tcW w:type="dxa" w:w="2929"/>
          </w:tcPr>
          <w:p>
            <w:pPr>
              <w:jc w:val="center"/>
            </w:pPr>
            <w:r/>
            <w:r>
              <w:rPr>
                <w:rFonts w:ascii="Times New Roman" w:hAnsi="Times New Roman"/>
                <w:sz w:val="21"/>
              </w:rPr>
              <w:t>ARN monocatenario (−)</w:t>
            </w:r>
          </w:p>
        </w:tc>
        <w:tc>
          <w:tcPr>
            <w:tcW w:type="dxa" w:w="2929"/>
          </w:tcPr>
          <w:p>
            <w:pPr>
              <w:jc w:val="center"/>
            </w:pPr>
            <w:r/>
            <w:r>
              <w:rPr>
                <w:rFonts w:ascii="Times New Roman" w:hAnsi="Times New Roman"/>
                <w:sz w:val="21"/>
              </w:rPr>
              <w:t>Polaridad negativa (requiere transcripción previa)</w:t>
            </w:r>
          </w:p>
        </w:tc>
        <w:tc>
          <w:tcPr>
            <w:tcW w:type="dxa" w:w="2929"/>
          </w:tcPr>
          <w:p>
            <w:pPr>
              <w:jc w:val="center"/>
            </w:pPr>
            <w:r/>
            <w:r>
              <w:rPr>
                <w:rFonts w:ascii="Times New Roman" w:hAnsi="Times New Roman"/>
                <w:sz w:val="21"/>
              </w:rPr>
              <w:t>Influenza, Ébola, Rabia</w:t>
            </w:r>
          </w:p>
        </w:tc>
      </w:tr>
      <w:tr>
        <w:tc>
          <w:tcPr>
            <w:tcW w:type="dxa" w:w="2929"/>
          </w:tcPr>
          <w:p>
            <w:pPr>
              <w:jc w:val="center"/>
            </w:pPr>
            <w:r/>
            <w:r>
              <w:rPr>
                <w:rFonts w:ascii="Times New Roman" w:hAnsi="Times New Roman"/>
                <w:sz w:val="21"/>
              </w:rPr>
              <w:t>Retrovirus</w:t>
            </w:r>
          </w:p>
        </w:tc>
        <w:tc>
          <w:tcPr>
            <w:tcW w:type="dxa" w:w="2929"/>
          </w:tcPr>
          <w:p>
            <w:pPr>
              <w:jc w:val="center"/>
            </w:pPr>
            <w:r/>
            <w:r>
              <w:rPr>
                <w:rFonts w:ascii="Times New Roman" w:hAnsi="Times New Roman"/>
                <w:sz w:val="21"/>
              </w:rPr>
              <w:t>ARN(+) con transcriptasa inversa</w:t>
            </w:r>
          </w:p>
        </w:tc>
        <w:tc>
          <w:tcPr>
            <w:tcW w:type="dxa" w:w="2929"/>
          </w:tcPr>
          <w:p>
            <w:pPr>
              <w:jc w:val="center"/>
            </w:pPr>
            <w:r/>
            <w:r>
              <w:rPr>
                <w:rFonts w:ascii="Times New Roman" w:hAnsi="Times New Roman"/>
                <w:sz w:val="21"/>
              </w:rPr>
              <w:t>VIH, HTLV</w:t>
            </w:r>
          </w:p>
        </w:tc>
      </w:tr>
    </w:tbl>
    <w:p>
      <w:pPr>
        <w:spacing w:before="40" w:after="120"/>
      </w:pPr>
    </w:p>
    <w:p>
      <w:pPr>
        <w:pStyle w:val="Heading1"/>
      </w:pPr>
      <w:r>
        <w:t>Preguntas de Autoevaluación</w:t>
      </w:r>
    </w:p>
    <w:p>
      <w:pPr>
        <w:spacing w:line="360" w:lineRule="auto" w:after="120"/>
        <w:ind w:firstLine="283"/>
        <w:jc w:val="both"/>
      </w:pPr>
      <w:r>
        <w:rPr>
          <w:rFonts w:ascii="Times New Roman" w:hAnsi="Times New Roman"/>
          <w:b w:val="0"/>
          <w:sz w:val="24"/>
        </w:rPr>
        <w:t>A continuación se presentan cinco preguntas tipo test diseñadas para evaluar la comprensión de los conceptos clave abordados en este documento. Seleccione la respuesta correcta en cada caso.</w:t>
      </w:r>
    </w:p>
    <w:p>
      <w:pPr>
        <w:spacing w:before="200" w:after="40" w:line="360" w:lineRule="auto"/>
      </w:pPr>
      <w:r>
        <w:rPr>
          <w:rFonts w:ascii="Times New Roman" w:hAnsi="Times New Roman"/>
          <w:b/>
          <w:sz w:val="24"/>
        </w:rPr>
        <w:t>1. ¿Cuál de las siguientes afirmaciones sobre la clasificación celular es correcta?</w:t>
      </w:r>
    </w:p>
    <w:p>
      <w:pPr>
        <w:spacing w:before="20" w:after="20" w:line="312" w:lineRule="auto"/>
        <w:ind w:left="567"/>
      </w:pPr>
      <w:r>
        <w:rPr>
          <w:rFonts w:ascii="Times New Roman" w:hAnsi="Times New Roman"/>
          <w:sz w:val="22"/>
        </w:rPr>
        <w:t>a) Las bacterias son eucariotas porque poseen núcleo definido.</w:t>
      </w:r>
    </w:p>
    <w:p>
      <w:pPr>
        <w:spacing w:before="20" w:after="20" w:line="312" w:lineRule="auto"/>
        <w:ind w:left="567"/>
      </w:pPr>
      <w:r>
        <w:rPr>
          <w:rFonts w:ascii="Times New Roman" w:hAnsi="Times New Roman"/>
          <w:sz w:val="22"/>
        </w:rPr>
        <w:t>b) Los hongos son procariotas porque carecen de orgánulos membranosos.</w:t>
      </w:r>
    </w:p>
    <w:p>
      <w:pPr>
        <w:spacing w:before="20" w:after="20" w:line="312" w:lineRule="auto"/>
        <w:ind w:left="567"/>
      </w:pPr>
      <w:r>
        <w:rPr>
          <w:rFonts w:ascii="Times New Roman" w:hAnsi="Times New Roman"/>
          <w:sz w:val="22"/>
        </w:rPr>
        <w:t>c) Las bacterias son procariotas y los hongos son eucariotas.</w:t>
      </w:r>
    </w:p>
    <w:p>
      <w:pPr>
        <w:spacing w:before="20" w:after="20" w:line="312" w:lineRule="auto"/>
        <w:ind w:left="567"/>
      </w:pPr>
      <w:r>
        <w:rPr>
          <w:rFonts w:ascii="Times New Roman" w:hAnsi="Times New Roman"/>
          <w:sz w:val="22"/>
        </w:rPr>
        <w:t>d) Los virus son procariotas porque no tienen núcleo.</w:t>
      </w:r>
    </w:p>
    <w:p>
      <w:pPr>
        <w:spacing w:before="200" w:after="40" w:line="360" w:lineRule="auto"/>
      </w:pPr>
      <w:r>
        <w:rPr>
          <w:rFonts w:ascii="Times New Roman" w:hAnsi="Times New Roman"/>
          <w:b/>
          <w:sz w:val="24"/>
        </w:rPr>
        <w:t>2. ¿Qué estructura bacteriana constituye el principal blanco de acción de los antibióticos como los aminoglucósidos y los macrólidos?</w:t>
      </w:r>
    </w:p>
    <w:p>
      <w:pPr>
        <w:spacing w:before="20" w:after="20" w:line="312" w:lineRule="auto"/>
        <w:ind w:left="567"/>
      </w:pPr>
      <w:r>
        <w:rPr>
          <w:rFonts w:ascii="Times New Roman" w:hAnsi="Times New Roman"/>
          <w:sz w:val="22"/>
        </w:rPr>
        <w:t>a) La pared celular de peptidoglucano.</w:t>
      </w:r>
    </w:p>
    <w:p>
      <w:pPr>
        <w:spacing w:before="20" w:after="20" w:line="312" w:lineRule="auto"/>
        <w:ind w:left="567"/>
      </w:pPr>
      <w:r>
        <w:rPr>
          <w:rFonts w:ascii="Times New Roman" w:hAnsi="Times New Roman"/>
          <w:sz w:val="22"/>
        </w:rPr>
        <w:t>b) Los ribosomas 70S.</w:t>
      </w:r>
    </w:p>
    <w:p>
      <w:pPr>
        <w:spacing w:before="20" w:after="20" w:line="312" w:lineRule="auto"/>
        <w:ind w:left="567"/>
      </w:pPr>
      <w:r>
        <w:rPr>
          <w:rFonts w:ascii="Times New Roman" w:hAnsi="Times New Roman"/>
          <w:sz w:val="22"/>
        </w:rPr>
        <w:t>c) La membrana citoplasmática.</w:t>
      </w:r>
    </w:p>
    <w:p>
      <w:pPr>
        <w:spacing w:before="20" w:after="20" w:line="312" w:lineRule="auto"/>
        <w:ind w:left="567"/>
      </w:pPr>
      <w:r>
        <w:rPr>
          <w:rFonts w:ascii="Times New Roman" w:hAnsi="Times New Roman"/>
          <w:sz w:val="22"/>
        </w:rPr>
        <w:t>d) La cápsula polisacárida.</w:t>
      </w:r>
    </w:p>
    <w:p>
      <w:pPr>
        <w:spacing w:before="200" w:after="40" w:line="360" w:lineRule="auto"/>
      </w:pPr>
      <w:r>
        <w:rPr>
          <w:rFonts w:ascii="Times New Roman" w:hAnsi="Times New Roman"/>
          <w:b/>
          <w:sz w:val="24"/>
        </w:rPr>
        <w:t>3. En la tinción de Gram, las bacterias Gram negativas se caracterizan por:</w:t>
      </w:r>
    </w:p>
    <w:p>
      <w:pPr>
        <w:spacing w:before="20" w:after="20" w:line="312" w:lineRule="auto"/>
        <w:ind w:left="567"/>
      </w:pPr>
      <w:r>
        <w:rPr>
          <w:rFonts w:ascii="Times New Roman" w:hAnsi="Times New Roman"/>
          <w:sz w:val="22"/>
        </w:rPr>
        <w:t>a) Presentar una capa gruesa de peptidoglucano y ácidos teicoicos.</w:t>
      </w:r>
    </w:p>
    <w:p>
      <w:pPr>
        <w:spacing w:before="20" w:after="20" w:line="312" w:lineRule="auto"/>
        <w:ind w:left="567"/>
      </w:pPr>
      <w:r>
        <w:rPr>
          <w:rFonts w:ascii="Times New Roman" w:hAnsi="Times New Roman"/>
          <w:sz w:val="22"/>
        </w:rPr>
        <w:t>b) Carecer de membrana externa y contener ácidos teicoicos.</w:t>
      </w:r>
    </w:p>
    <w:p>
      <w:pPr>
        <w:spacing w:before="20" w:after="20" w:line="312" w:lineRule="auto"/>
        <w:ind w:left="567"/>
      </w:pPr>
      <w:r>
        <w:rPr>
          <w:rFonts w:ascii="Times New Roman" w:hAnsi="Times New Roman"/>
          <w:sz w:val="22"/>
        </w:rPr>
        <w:t>c) Poseer una membrana externa con lipopolisacárido (LPS) y una capa fina de peptidoglucano.</w:t>
      </w:r>
    </w:p>
    <w:p>
      <w:pPr>
        <w:spacing w:before="20" w:after="20" w:line="312" w:lineRule="auto"/>
        <w:ind w:left="567"/>
      </w:pPr>
      <w:r>
        <w:rPr>
          <w:rFonts w:ascii="Times New Roman" w:hAnsi="Times New Roman"/>
          <w:sz w:val="22"/>
        </w:rPr>
        <w:t>d) Retener el cristal violeta y observarse de color violeta/azul al microscopio.</w:t>
      </w:r>
    </w:p>
    <w:p>
      <w:pPr>
        <w:spacing w:before="200" w:after="40" w:line="360" w:lineRule="auto"/>
      </w:pPr>
      <w:r>
        <w:rPr>
          <w:rFonts w:ascii="Times New Roman" w:hAnsi="Times New Roman"/>
          <w:b/>
          <w:sz w:val="24"/>
        </w:rPr>
        <w:t>4. ¿Qué tipo de virus utiliza la transcriptasa inversa para convertir su ARN en ADN proviral que se integra en el genoma del huésped?</w:t>
      </w:r>
    </w:p>
    <w:p>
      <w:pPr>
        <w:spacing w:before="20" w:after="20" w:line="312" w:lineRule="auto"/>
        <w:ind w:left="567"/>
      </w:pPr>
      <w:r>
        <w:rPr>
          <w:rFonts w:ascii="Times New Roman" w:hAnsi="Times New Roman"/>
          <w:sz w:val="22"/>
        </w:rPr>
        <w:t>a) Virus de ARN monocatenario positivo (+)ssARN, como el SARS-CoV-2.</w:t>
      </w:r>
    </w:p>
    <w:p>
      <w:pPr>
        <w:spacing w:before="20" w:after="20" w:line="312" w:lineRule="auto"/>
        <w:ind w:left="567"/>
      </w:pPr>
      <w:r>
        <w:rPr>
          <w:rFonts w:ascii="Times New Roman" w:hAnsi="Times New Roman"/>
          <w:sz w:val="22"/>
        </w:rPr>
        <w:t>b) Retrovirus, como el VIH.</w:t>
      </w:r>
    </w:p>
    <w:p>
      <w:pPr>
        <w:spacing w:before="20" w:after="20" w:line="312" w:lineRule="auto"/>
        <w:ind w:left="567"/>
      </w:pPr>
      <w:r>
        <w:rPr>
          <w:rFonts w:ascii="Times New Roman" w:hAnsi="Times New Roman"/>
          <w:sz w:val="22"/>
        </w:rPr>
        <w:t>c) Virus de ADN bicatenario, como los herpesvirus.</w:t>
      </w:r>
    </w:p>
    <w:p>
      <w:pPr>
        <w:spacing w:before="20" w:after="20" w:line="312" w:lineRule="auto"/>
        <w:ind w:left="567"/>
      </w:pPr>
      <w:r>
        <w:rPr>
          <w:rFonts w:ascii="Times New Roman" w:hAnsi="Times New Roman"/>
          <w:sz w:val="22"/>
        </w:rPr>
        <w:t>d) Virus de ARN monocatenario negativo (−)ssARN, como el virus de la influenza.</w:t>
      </w:r>
    </w:p>
    <w:p>
      <w:pPr>
        <w:spacing w:before="200" w:after="40" w:line="360" w:lineRule="auto"/>
      </w:pPr>
      <w:r>
        <w:rPr>
          <w:rFonts w:ascii="Times New Roman" w:hAnsi="Times New Roman"/>
          <w:b/>
          <w:sz w:val="24"/>
        </w:rPr>
        <w:t>5. Las endosporas bacterianas son estructuras de resistencia formadas principalmente por los géneros:</w:t>
      </w:r>
    </w:p>
    <w:p>
      <w:pPr>
        <w:spacing w:before="20" w:after="20" w:line="312" w:lineRule="auto"/>
        <w:ind w:left="567"/>
      </w:pPr>
      <w:r>
        <w:rPr>
          <w:rFonts w:ascii="Times New Roman" w:hAnsi="Times New Roman"/>
          <w:sz w:val="22"/>
        </w:rPr>
        <w:t>a) Escherichia y Salmonella.</w:t>
      </w:r>
    </w:p>
    <w:p>
      <w:pPr>
        <w:spacing w:before="20" w:after="20" w:line="312" w:lineRule="auto"/>
        <w:ind w:left="567"/>
      </w:pPr>
      <w:r>
        <w:rPr>
          <w:rFonts w:ascii="Times New Roman" w:hAnsi="Times New Roman"/>
          <w:sz w:val="22"/>
        </w:rPr>
        <w:t>b) Staphylococcus y Streptococcus.</w:t>
      </w:r>
    </w:p>
    <w:p>
      <w:pPr>
        <w:spacing w:before="20" w:after="20" w:line="312" w:lineRule="auto"/>
        <w:ind w:left="567"/>
      </w:pPr>
      <w:r>
        <w:rPr>
          <w:rFonts w:ascii="Times New Roman" w:hAnsi="Times New Roman"/>
          <w:sz w:val="22"/>
        </w:rPr>
        <w:t>c) Bacillus y Clostridium.</w:t>
      </w:r>
    </w:p>
    <w:p>
      <w:pPr>
        <w:spacing w:before="20" w:after="20" w:line="312" w:lineRule="auto"/>
        <w:ind w:left="567"/>
      </w:pPr>
      <w:r>
        <w:rPr>
          <w:rFonts w:ascii="Times New Roman" w:hAnsi="Times New Roman"/>
          <w:sz w:val="22"/>
        </w:rPr>
        <w:t>d) Pseudomonas y Mycobacterium.</w:t>
      </w:r>
    </w:p>
    <w:p>
      <w:pPr>
        <w:spacing w:before="320" w:after="80"/>
      </w:pPr>
      <w:r>
        <w:rPr>
          <w:rFonts w:ascii="Times New Roman" w:hAnsi="Times New Roman"/>
          <w:b/>
          <w:sz w:val="22"/>
        </w:rPr>
        <w:t xml:space="preserve">Respuestas correctas: </w:t>
      </w:r>
      <w:r>
        <w:rPr>
          <w:rFonts w:ascii="Times New Roman" w:hAnsi="Times New Roman"/>
          <w:sz w:val="22"/>
        </w:rPr>
        <w:t>1) c  2) b  3) c  4) b  5) c</w:t>
      </w:r>
    </w:p>
    <w:sectPr w:rsidR="00FC693F" w:rsidRPr="0006063C" w:rsidSect="00034616">
      <w:headerReference w:type="default" r:id="rId9"/>
      <w:footerReference w:type="default" r:id="rId10"/>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t xml:space="preserve">- </w:t>
    </w:r>
    <w:r>
      <w:fldChar w:fldCharType="begin"/>
    </w:r>
    <w:r>
      <w:instrText xml:space="preserve"> PAGE \* arabic \* MERGEFORMAT </w:instrText>
    </w:r>
    <w:r>
      <w:fldChar w:fldCharType="end"/>
    </w:r>
    <w:r>
      <w:rPr>
        <w:rFonts w:ascii="Times New Roman" w:hAnsi="Times New Roman"/>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000000"/>
      </w:pBdr>
    </w:pPr>
    <w:r>
      <w:rPr>
        <w:rFonts w:ascii="Times New Roman" w:hAnsi="Times New Roman"/>
        <w:color w:val="333333"/>
        <w:sz w:val="18"/>
      </w:rPr>
      <w:t>Microbiología y Virología — Documento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