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Estimation of Genuine Multipartite Entanglement in Half-Filled Hubbard Rings</w:t>
      </w:r>
    </w:p>
    <w:p>
      <w:pPr>
        <w:jc w:val="center"/>
      </w:pPr>
      <w:r>
        <w:rPr>
          <w:rFonts w:ascii="Times New Roman" w:hAnsi="Times New Roman"/>
          <w:sz w:val="22"/>
        </w:rPr>
        <w:t>Khuram Shahzad and Guido Goldoni</w:t>
      </w:r>
    </w:p>
    <w:p>
      <w:pPr>
        <w:spacing w:after="280"/>
        <w:jc w:val="center"/>
      </w:pPr>
      <w:r>
        <w:rPr>
          <w:rFonts w:ascii="Times New Roman" w:hAnsi="Times New Roman"/>
          <w:i/>
          <w:sz w:val="20"/>
        </w:rPr>
        <w:t>University of Modena and Reggio Emilia (UNIMORE), Department of Physics, Informatics and Mathematics</w:t>
      </w:r>
    </w:p>
    <w:p>
      <w:r>
        <w:rPr>
          <w:rFonts w:ascii="Times New Roman" w:hAnsi="Times New Roman"/>
          <w:b w:val="0"/>
          <w:i w:val="0"/>
          <w:sz w:val="22"/>
        </w:rPr>
        <w:t>Genuine multipartite entanglement (GME) is a central resource for quantum technologies and a sensitive probe of many-body correlations. In itinerant-electron systems it is hard to quantify, because charge fluctuations, subsystem reduction, and temperature produce mixed spin states. Here we investigate spin GME in finite, half-filled Hubbard rings.</w:t>
      </w:r>
    </w:p>
    <w:p>
      <w:r>
        <w:rPr>
          <w:rFonts w:ascii="Times New Roman" w:hAnsi="Times New Roman"/>
          <w:b w:val="0"/>
          <w:i w:val="0"/>
          <w:sz w:val="22"/>
        </w:rPr>
        <w:t>We solve the Hubbard Hamiltonian,</w:t>
      </w:r>
    </w:p>
    <w:p>
      <w:pPr>
        <w:spacing w:before="80" w:after="160"/>
        <w:jc w:val="center"/>
      </w:pPr>
      <w:r>
        <w:rPr>
          <w:rFonts w:ascii="Cambria Math" w:hAnsi="Cambria Math"/>
          <w:b w:val="0"/>
          <w:i/>
          <w:sz w:val="22"/>
        </w:rPr>
        <w:t>H</w:t>
      </w:r>
      <w:r>
        <w:rPr>
          <w:rFonts w:ascii="Cambria Math" w:hAnsi="Cambria Math"/>
          <w:b w:val="0"/>
          <w:i w:val="0"/>
          <w:sz w:val="22"/>
        </w:rPr>
        <w:t xml:space="preserve"> = −t </w:t>
      </w:r>
      <w:r>
        <w:rPr>
          <w:rFonts w:ascii="Cambria Math" w:hAnsi="Cambria Math"/>
          <w:b w:val="0"/>
          <w:i w:val="0"/>
          <w:sz w:val="22"/>
        </w:rPr>
        <w:t>∑</w:t>
      </w:r>
      <w:r>
        <w:rPr>
          <w:rFonts w:ascii="Cambria Math" w:hAnsi="Cambria Math"/>
          <w:b w:val="0"/>
          <w:i w:val="0"/>
          <w:sz w:val="22"/>
          <w:vertAlign w:val="subscript"/>
        </w:rPr>
        <w:t>⟨ij⟩,σ</w:t>
      </w:r>
      <w:r>
        <w:rPr>
          <w:rFonts w:ascii="Cambria Math" w:hAnsi="Cambria Math"/>
          <w:b w:val="0"/>
          <w:i w:val="0"/>
          <w:sz w:val="22"/>
        </w:rPr>
        <w:t xml:space="preserve"> (</w:t>
      </w:r>
      <w:r>
        <w:rPr>
          <w:rFonts w:ascii="Cambria Math" w:hAnsi="Cambria Math"/>
          <w:b w:val="0"/>
          <w:i/>
          <w:sz w:val="22"/>
        </w:rPr>
        <w:t>c</w:t>
      </w:r>
      <w:r>
        <w:rPr>
          <w:rFonts w:ascii="Cambria Math" w:hAnsi="Cambria Math"/>
          <w:b w:val="0"/>
          <w:i w:val="0"/>
          <w:sz w:val="22"/>
          <w:vertAlign w:val="superscript"/>
        </w:rPr>
        <w:t>†</w:t>
      </w:r>
      <w:r>
        <w:rPr>
          <w:rFonts w:ascii="Cambria Math" w:hAnsi="Cambria Math"/>
          <w:b w:val="0"/>
          <w:i w:val="0"/>
          <w:sz w:val="22"/>
          <w:vertAlign w:val="subscript"/>
        </w:rPr>
        <w:t>iσ</w:t>
      </w:r>
      <w:r>
        <w:rPr>
          <w:rFonts w:ascii="Cambria Math" w:hAnsi="Cambria Math"/>
          <w:b w:val="0"/>
          <w:i/>
          <w:sz w:val="22"/>
        </w:rPr>
        <w:t>c</w:t>
      </w:r>
      <w:r>
        <w:rPr>
          <w:rFonts w:ascii="Cambria Math" w:hAnsi="Cambria Math"/>
          <w:b w:val="0"/>
          <w:i w:val="0"/>
          <w:sz w:val="22"/>
          <w:vertAlign w:val="subscript"/>
        </w:rPr>
        <w:t>jσ</w:t>
      </w:r>
      <w:r>
        <w:rPr>
          <w:rFonts w:ascii="Cambria Math" w:hAnsi="Cambria Math"/>
          <w:b w:val="0"/>
          <w:i w:val="0"/>
          <w:sz w:val="22"/>
        </w:rPr>
        <w:t xml:space="preserve"> + H.c.) + U </w:t>
      </w:r>
      <w:r>
        <w:rPr>
          <w:rFonts w:ascii="Cambria Math" w:hAnsi="Cambria Math"/>
          <w:b w:val="0"/>
          <w:i w:val="0"/>
          <w:sz w:val="22"/>
        </w:rPr>
        <w:t>∑</w:t>
      </w:r>
      <w:r>
        <w:rPr>
          <w:rFonts w:ascii="Cambria Math" w:hAnsi="Cambria Math"/>
          <w:b w:val="0"/>
          <w:i w:val="0"/>
          <w:sz w:val="22"/>
          <w:vertAlign w:val="subscript"/>
        </w:rPr>
        <w:t>i</w:t>
      </w:r>
      <w:r>
        <w:rPr>
          <w:rFonts w:ascii="Cambria Math" w:hAnsi="Cambria Math"/>
          <w:b w:val="0"/>
          <w:i w:val="0"/>
          <w:sz w:val="22"/>
        </w:rPr>
        <w:t xml:space="preserve"> </w:t>
      </w:r>
      <w:r>
        <w:rPr>
          <w:rFonts w:ascii="Cambria Math" w:hAnsi="Cambria Math"/>
          <w:b w:val="0"/>
          <w:i/>
          <w:sz w:val="22"/>
        </w:rPr>
        <w:t>n</w:t>
      </w:r>
      <w:r>
        <w:rPr>
          <w:rFonts w:ascii="Cambria Math" w:hAnsi="Cambria Math"/>
          <w:b w:val="0"/>
          <w:i w:val="0"/>
          <w:sz w:val="22"/>
          <w:vertAlign w:val="subscript"/>
        </w:rPr>
        <w:t>i↑</w:t>
      </w:r>
      <w:r>
        <w:rPr>
          <w:rFonts w:ascii="Cambria Math" w:hAnsi="Cambria Math"/>
          <w:b w:val="0"/>
          <w:i w:val="0"/>
          <w:sz w:val="22"/>
        </w:rPr>
        <w:t xml:space="preserve"> </w:t>
      </w:r>
      <w:r>
        <w:rPr>
          <w:rFonts w:ascii="Cambria Math" w:hAnsi="Cambria Math"/>
          <w:b w:val="0"/>
          <w:i/>
          <w:sz w:val="22"/>
        </w:rPr>
        <w:t>n</w:t>
      </w:r>
      <w:r>
        <w:rPr>
          <w:rFonts w:ascii="Cambria Math" w:hAnsi="Cambria Math"/>
          <w:b w:val="0"/>
          <w:i w:val="0"/>
          <w:sz w:val="22"/>
          <w:vertAlign w:val="subscript"/>
        </w:rPr>
        <w:t>i↓</w:t>
      </w:r>
      <w:r>
        <w:rPr>
          <w:rFonts w:ascii="Cambria Math" w:hAnsi="Cambria Math"/>
          <w:b w:val="0"/>
          <w:i w:val="0"/>
          <w:sz w:val="22"/>
        </w:rPr>
        <w:t xml:space="preserve"> ,</w:t>
      </w:r>
    </w:p>
    <w:p>
      <w:r>
        <w:rPr>
          <w:rFonts w:ascii="Times New Roman" w:hAnsi="Times New Roman"/>
          <w:b w:val="0"/>
          <w:i w:val="0"/>
          <w:sz w:val="22"/>
        </w:rPr>
        <w:t xml:space="preserve">by exact diagonalization for rings of </w:t>
      </w:r>
      <w:r>
        <w:rPr>
          <w:rFonts w:ascii="Times New Roman" w:hAnsi="Times New Roman"/>
          <w:b w:val="0"/>
          <w:i/>
          <w:sz w:val="22"/>
        </w:rPr>
        <w:t>N</w:t>
      </w:r>
      <w:r>
        <w:rPr>
          <w:rFonts w:ascii="Times New Roman" w:hAnsi="Times New Roman"/>
          <w:b w:val="0"/>
          <w:i w:val="0"/>
          <w:sz w:val="22"/>
        </w:rPr>
        <w:t xml:space="preserve"> = 2–8 sites at half filling (</w:t>
      </w:r>
      <w:r>
        <w:rPr>
          <w:rFonts w:ascii="Times New Roman" w:hAnsi="Times New Roman"/>
          <w:b w:val="0"/>
          <w:i/>
          <w:sz w:val="22"/>
        </w:rPr>
        <w:t>N</w:t>
      </w:r>
      <w:r>
        <w:rPr>
          <w:rFonts w:ascii="Times New Roman" w:hAnsi="Times New Roman"/>
          <w:b w:val="0"/>
          <w:i w:val="0"/>
          <w:sz w:val="22"/>
        </w:rPr>
        <w:t xml:space="preserve"> electrons, periodic boundary conditions), in both the </w:t>
      </w:r>
      <w:r>
        <w:rPr>
          <w:rFonts w:ascii="Times New Roman" w:hAnsi="Times New Roman"/>
          <w:b w:val="0"/>
          <w:i/>
          <w:sz w:val="22"/>
        </w:rPr>
        <w:t>S</w:t>
      </w:r>
      <w:r>
        <w:rPr>
          <w:rFonts w:ascii="Times New Roman" w:hAnsi="Times New Roman"/>
          <w:b w:val="0"/>
          <w:i w:val="0"/>
          <w:sz w:val="22"/>
          <w:vertAlign w:val="subscript"/>
        </w:rPr>
        <w:t>z</w:t>
      </w:r>
      <w:r>
        <w:rPr>
          <w:rFonts w:ascii="Times New Roman" w:hAnsi="Times New Roman"/>
          <w:b w:val="0"/>
          <w:i w:val="0"/>
          <w:sz w:val="22"/>
        </w:rPr>
        <w:t xml:space="preserve"> = 0 sector and the full Hilbert space. Here </w:t>
      </w:r>
      <w:r>
        <w:rPr>
          <w:rFonts w:ascii="Times New Roman" w:hAnsi="Times New Roman"/>
          <w:b w:val="0"/>
          <w:i/>
          <w:sz w:val="22"/>
        </w:rPr>
        <w:t>t</w:t>
      </w:r>
      <w:r>
        <w:rPr>
          <w:rFonts w:ascii="Times New Roman" w:hAnsi="Times New Roman"/>
          <w:b w:val="0"/>
          <w:i w:val="0"/>
          <w:sz w:val="22"/>
        </w:rPr>
        <w:t xml:space="preserve"> is the nearest-neighbour hopping and </w:t>
      </w:r>
      <w:r>
        <w:rPr>
          <w:rFonts w:ascii="Times New Roman" w:hAnsi="Times New Roman"/>
          <w:b w:val="0"/>
          <w:i/>
          <w:sz w:val="22"/>
        </w:rPr>
        <w:t>U</w:t>
      </w:r>
      <w:r>
        <w:rPr>
          <w:rFonts w:ascii="Times New Roman" w:hAnsi="Times New Roman"/>
          <w:b w:val="0"/>
          <w:i w:val="0"/>
          <w:sz w:val="22"/>
        </w:rPr>
        <w:t xml:space="preserve"> the on-site repulsion.</w:t>
      </w:r>
    </w:p>
    <w:p>
      <w:r>
        <w:rPr>
          <w:rFonts w:ascii="Times New Roman" w:hAnsi="Times New Roman"/>
          <w:b w:val="0"/>
          <w:i w:val="0"/>
          <w:sz w:val="22"/>
        </w:rPr>
        <w:t xml:space="preserve">From a correlated eigenstate </w:t>
      </w:r>
      <w:r>
        <w:rPr>
          <w:rFonts w:ascii="Times New Roman" w:hAnsi="Times New Roman"/>
          <w:b w:val="0"/>
          <w:i/>
          <w:sz w:val="22"/>
        </w:rPr>
        <w:t>Ψ</w:t>
      </w:r>
      <w:r>
        <w:rPr>
          <w:rFonts w:ascii="Times New Roman" w:hAnsi="Times New Roman"/>
          <w:b w:val="0"/>
          <w:i w:val="0"/>
          <w:sz w:val="22"/>
        </w:rPr>
        <w:t xml:space="preserve"> we choose a cluster of </w:t>
      </w:r>
      <w:r>
        <w:rPr>
          <w:rFonts w:ascii="Times New Roman" w:hAnsi="Times New Roman"/>
          <w:b w:val="0"/>
          <w:i/>
          <w:sz w:val="22"/>
        </w:rPr>
        <w:t>n</w:t>
      </w:r>
      <w:r>
        <w:rPr>
          <w:rFonts w:ascii="Times New Roman" w:hAnsi="Times New Roman"/>
          <w:b w:val="0"/>
          <w:i w:val="0"/>
          <w:sz w:val="22"/>
        </w:rPr>
        <w:t xml:space="preserve"> sites (</w:t>
      </w:r>
      <w:r>
        <w:rPr>
          <w:rFonts w:ascii="Times New Roman" w:hAnsi="Times New Roman"/>
          <w:b w:val="0"/>
          <w:i/>
          <w:sz w:val="22"/>
        </w:rPr>
        <w:t>n</w:t>
      </w:r>
      <w:r>
        <w:rPr>
          <w:rFonts w:ascii="Times New Roman" w:hAnsi="Times New Roman"/>
          <w:b w:val="0"/>
          <w:i w:val="0"/>
          <w:sz w:val="22"/>
        </w:rPr>
        <w:t xml:space="preserve"> ≤ </w:t>
      </w:r>
      <w:r>
        <w:rPr>
          <w:rFonts w:ascii="Times New Roman" w:hAnsi="Times New Roman"/>
          <w:b w:val="0"/>
          <w:i/>
          <w:sz w:val="22"/>
        </w:rPr>
        <w:t>N</w:t>
      </w:r>
      <w:r>
        <w:rPr>
          <w:rFonts w:ascii="Times New Roman" w:hAnsi="Times New Roman"/>
          <w:b w:val="0"/>
          <w:i w:val="0"/>
          <w:sz w:val="22"/>
        </w:rPr>
        <w:t xml:space="preserve">) and form their reduced density matrix by tracing out the remaining </w:t>
      </w:r>
      <w:r>
        <w:rPr>
          <w:rFonts w:ascii="Times New Roman" w:hAnsi="Times New Roman"/>
          <w:b w:val="0"/>
          <w:i/>
          <w:sz w:val="22"/>
        </w:rPr>
        <w:t>N</w:t>
      </w:r>
      <w:r>
        <w:rPr>
          <w:rFonts w:ascii="Times New Roman" w:hAnsi="Times New Roman"/>
          <w:b w:val="0"/>
          <w:i w:val="0"/>
          <w:sz w:val="22"/>
        </w:rPr>
        <w:t xml:space="preserve"> − </w:t>
      </w:r>
      <w:r>
        <w:rPr>
          <w:rFonts w:ascii="Times New Roman" w:hAnsi="Times New Roman"/>
          <w:b w:val="0"/>
          <w:i/>
          <w:sz w:val="22"/>
        </w:rPr>
        <w:t>n</w:t>
      </w:r>
      <w:r>
        <w:rPr>
          <w:rFonts w:ascii="Times New Roman" w:hAnsi="Times New Roman"/>
          <w:b w:val="0"/>
          <w:i w:val="0"/>
          <w:sz w:val="22"/>
        </w:rPr>
        <w:t xml:space="preserve"> sites,</w:t>
      </w:r>
    </w:p>
    <w:p>
      <w:pPr>
        <w:spacing w:before="80" w:after="160"/>
        <w:jc w:val="center"/>
      </w:pPr>
      <w:r>
        <w:rPr>
          <w:rFonts w:ascii="Cambria Math" w:hAnsi="Cambria Math"/>
          <w:b w:val="0"/>
          <w:i/>
          <w:sz w:val="22"/>
        </w:rPr>
        <w:t>ρ</w:t>
      </w:r>
      <w:r>
        <w:rPr>
          <w:rFonts w:ascii="Cambria Math" w:hAnsi="Cambria Math"/>
          <w:b w:val="0"/>
          <w:i w:val="0"/>
          <w:sz w:val="22"/>
          <w:vertAlign w:val="subscript"/>
        </w:rPr>
        <w:t>n</w:t>
      </w:r>
      <w:r>
        <w:rPr>
          <w:rFonts w:ascii="Cambria Math" w:hAnsi="Cambria Math"/>
          <w:b w:val="0"/>
          <w:i w:val="0"/>
          <w:sz w:val="22"/>
        </w:rPr>
        <w:t xml:space="preserve"> = Tr</w:t>
      </w:r>
      <w:r>
        <w:rPr>
          <w:rFonts w:ascii="Cambria Math" w:hAnsi="Cambria Math"/>
          <w:b w:val="0"/>
          <w:i w:val="0"/>
          <w:sz w:val="22"/>
          <w:vertAlign w:val="subscript"/>
        </w:rPr>
        <w:t>N−n</w:t>
      </w:r>
      <w:r>
        <w:rPr>
          <w:rFonts w:ascii="Cambria Math" w:hAnsi="Cambria Math"/>
          <w:b w:val="0"/>
          <w:i w:val="0"/>
          <w:sz w:val="22"/>
        </w:rPr>
        <w:t xml:space="preserve"> |</w:t>
      </w:r>
      <w:r>
        <w:rPr>
          <w:rFonts w:ascii="Cambria Math" w:hAnsi="Cambria Math"/>
          <w:b w:val="0"/>
          <w:i/>
          <w:sz w:val="22"/>
        </w:rPr>
        <w:t>Ψ</w:t>
      </w:r>
      <w:r>
        <w:rPr>
          <w:rFonts w:ascii="Cambria Math" w:hAnsi="Cambria Math"/>
          <w:b w:val="0"/>
          <w:i w:val="0"/>
          <w:sz w:val="22"/>
        </w:rPr>
        <w:t>⟩⟨</w:t>
      </w:r>
      <w:r>
        <w:rPr>
          <w:rFonts w:ascii="Cambria Math" w:hAnsi="Cambria Math"/>
          <w:b w:val="0"/>
          <w:i/>
          <w:sz w:val="22"/>
        </w:rPr>
        <w:t>Ψ</w:t>
      </w:r>
      <w:r>
        <w:rPr>
          <w:rFonts w:ascii="Cambria Math" w:hAnsi="Cambria Math"/>
          <w:b w:val="0"/>
          <w:i w:val="0"/>
          <w:sz w:val="22"/>
        </w:rPr>
        <w:t>| .</w:t>
      </w:r>
    </w:p>
    <w:p>
      <w:r>
        <w:rPr>
          <w:rFonts w:ascii="Times New Roman" w:hAnsi="Times New Roman"/>
          <w:b w:val="0"/>
          <w:i w:val="0"/>
          <w:sz w:val="22"/>
        </w:rPr>
        <w:t xml:space="preserve">Projecting each selected site onto single occupation (projector </w:t>
      </w:r>
      <w:r>
        <w:rPr>
          <w:rFonts w:ascii="Times New Roman" w:hAnsi="Times New Roman"/>
          <w:b w:val="0"/>
          <w:i/>
          <w:sz w:val="22"/>
        </w:rPr>
        <w:t>P</w:t>
      </w:r>
      <w:r>
        <w:rPr>
          <w:rFonts w:ascii="Times New Roman" w:hAnsi="Times New Roman"/>
          <w:b w:val="0"/>
          <w:i w:val="0"/>
          <w:sz w:val="22"/>
        </w:rPr>
        <w:t xml:space="preserve">) and renormalizing yields the </w:t>
      </w:r>
      <w:r>
        <w:rPr>
          <w:rFonts w:ascii="Times New Roman" w:hAnsi="Times New Roman"/>
          <w:b w:val="0"/>
          <w:i/>
          <w:sz w:val="22"/>
        </w:rPr>
        <w:t>n</w:t>
      </w:r>
      <w:r>
        <w:rPr>
          <w:rFonts w:ascii="Times New Roman" w:hAnsi="Times New Roman"/>
          <w:b w:val="0"/>
          <w:i w:val="0"/>
          <w:sz w:val="22"/>
        </w:rPr>
        <w:t>-spin reduced density matrix</w:t>
      </w:r>
    </w:p>
    <w:p>
      <w:pPr>
        <w:spacing w:before="80" w:after="160"/>
        <w:jc w:val="center"/>
      </w:pPr>
      <w:r>
        <w:rPr>
          <w:rFonts w:ascii="Cambria Math" w:hAnsi="Cambria Math"/>
          <w:b w:val="0"/>
          <w:i/>
          <w:sz w:val="22"/>
        </w:rPr>
        <w:t>Γ</w:t>
      </w:r>
      <w:r>
        <w:rPr>
          <w:rFonts w:ascii="Cambria Math" w:hAnsi="Cambria Math"/>
          <w:b w:val="0"/>
          <w:i w:val="0"/>
          <w:sz w:val="22"/>
          <w:vertAlign w:val="superscript"/>
        </w:rPr>
        <w:t>(n)</w:t>
      </w:r>
      <w:r>
        <w:rPr>
          <w:rFonts w:ascii="Cambria Math" w:hAnsi="Cambria Math"/>
          <w:b w:val="0"/>
          <w:i w:val="0"/>
          <w:sz w:val="22"/>
        </w:rPr>
        <w:t xml:space="preserve"> = </w:t>
      </w:r>
      <w:r>
        <w:rPr>
          <w:rFonts w:ascii="Cambria Math" w:hAnsi="Cambria Math"/>
          <w:b w:val="0"/>
          <w:i/>
          <w:sz w:val="22"/>
        </w:rPr>
        <w:t>P</w:t>
      </w:r>
      <w:r>
        <w:rPr>
          <w:rFonts w:ascii="Cambria Math" w:hAnsi="Cambria Math"/>
          <w:b w:val="0"/>
          <w:i w:val="0"/>
          <w:sz w:val="22"/>
        </w:rPr>
        <w:t xml:space="preserve"> </w:t>
      </w:r>
      <w:r>
        <w:rPr>
          <w:rFonts w:ascii="Cambria Math" w:hAnsi="Cambria Math"/>
          <w:b w:val="0"/>
          <w:i/>
          <w:sz w:val="22"/>
        </w:rPr>
        <w:t>ρ</w:t>
      </w:r>
      <w:r>
        <w:rPr>
          <w:rFonts w:ascii="Cambria Math" w:hAnsi="Cambria Math"/>
          <w:b w:val="0"/>
          <w:i w:val="0"/>
          <w:sz w:val="22"/>
          <w:vertAlign w:val="subscript"/>
        </w:rPr>
        <w:t>n</w:t>
      </w:r>
      <w:r>
        <w:rPr>
          <w:rFonts w:ascii="Cambria Math" w:hAnsi="Cambria Math"/>
          <w:b w:val="0"/>
          <w:i w:val="0"/>
          <w:sz w:val="22"/>
        </w:rPr>
        <w:t xml:space="preserve"> </w:t>
      </w:r>
      <w:r>
        <w:rPr>
          <w:rFonts w:ascii="Cambria Math" w:hAnsi="Cambria Math"/>
          <w:b w:val="0"/>
          <w:i/>
          <w:sz w:val="22"/>
        </w:rPr>
        <w:t>P</w:t>
      </w:r>
      <w:r>
        <w:rPr>
          <w:rFonts w:ascii="Cambria Math" w:hAnsi="Cambria Math"/>
          <w:b w:val="0"/>
          <w:i w:val="0"/>
          <w:sz w:val="22"/>
        </w:rPr>
        <w:t xml:space="preserve">  /  Tr(</w:t>
      </w:r>
      <w:r>
        <w:rPr>
          <w:rFonts w:ascii="Cambria Math" w:hAnsi="Cambria Math"/>
          <w:b w:val="0"/>
          <w:i/>
          <w:sz w:val="22"/>
        </w:rPr>
        <w:t>P</w:t>
      </w:r>
      <w:r>
        <w:rPr>
          <w:rFonts w:ascii="Cambria Math" w:hAnsi="Cambria Math"/>
          <w:b w:val="0"/>
          <w:i w:val="0"/>
          <w:sz w:val="22"/>
        </w:rPr>
        <w:t xml:space="preserve"> </w:t>
      </w:r>
      <w:r>
        <w:rPr>
          <w:rFonts w:ascii="Cambria Math" w:hAnsi="Cambria Math"/>
          <w:b w:val="0"/>
          <w:i/>
          <w:sz w:val="22"/>
        </w:rPr>
        <w:t>ρ</w:t>
      </w:r>
      <w:r>
        <w:rPr>
          <w:rFonts w:ascii="Cambria Math" w:hAnsi="Cambria Math"/>
          <w:b w:val="0"/>
          <w:i w:val="0"/>
          <w:sz w:val="22"/>
          <w:vertAlign w:val="subscript"/>
        </w:rPr>
        <w:t>n</w:t>
      </w:r>
      <w:r>
        <w:rPr>
          <w:rFonts w:ascii="Cambria Math" w:hAnsi="Cambria Math"/>
          <w:b w:val="0"/>
          <w:i w:val="0"/>
          <w:sz w:val="22"/>
        </w:rPr>
        <w:t xml:space="preserve"> </w:t>
      </w:r>
      <w:r>
        <w:rPr>
          <w:rFonts w:ascii="Cambria Math" w:hAnsi="Cambria Math"/>
          <w:b w:val="0"/>
          <w:i/>
          <w:sz w:val="22"/>
        </w:rPr>
        <w:t>P</w:t>
      </w:r>
      <w:r>
        <w:rPr>
          <w:rFonts w:ascii="Cambria Math" w:hAnsi="Cambria Math"/>
          <w:b w:val="0"/>
          <w:i w:val="0"/>
          <w:sz w:val="22"/>
        </w:rPr>
        <w:t>) ,</w:t>
      </w:r>
    </w:p>
    <w:p>
      <w:r>
        <w:rPr>
          <w:rFonts w:ascii="Times New Roman" w:hAnsi="Times New Roman"/>
          <w:b w:val="0"/>
          <w:i w:val="0"/>
          <w:sz w:val="22"/>
        </w:rPr>
        <w:t>a 2</w:t>
      </w:r>
      <w:r>
        <w:rPr>
          <w:rFonts w:ascii="Times New Roman" w:hAnsi="Times New Roman"/>
          <w:b w:val="0"/>
          <w:i w:val="0"/>
          <w:sz w:val="22"/>
          <w:vertAlign w:val="superscript"/>
        </w:rPr>
        <w:t>n</w:t>
      </w:r>
      <w:r>
        <w:rPr>
          <w:rFonts w:ascii="Times New Roman" w:hAnsi="Times New Roman"/>
          <w:b w:val="0"/>
          <w:i w:val="0"/>
          <w:sz w:val="22"/>
        </w:rPr>
        <w:t xml:space="preserve"> × 2</w:t>
      </w:r>
      <w:r>
        <w:rPr>
          <w:rFonts w:ascii="Times New Roman" w:hAnsi="Times New Roman"/>
          <w:b w:val="0"/>
          <w:i w:val="0"/>
          <w:sz w:val="22"/>
          <w:vertAlign w:val="superscript"/>
        </w:rPr>
        <w:t>n</w:t>
      </w:r>
      <w:r>
        <w:rPr>
          <w:rFonts w:ascii="Times New Roman" w:hAnsi="Times New Roman"/>
          <w:b w:val="0"/>
          <w:i w:val="0"/>
          <w:sz w:val="22"/>
        </w:rPr>
        <w:t xml:space="preserve"> matrix on the local spin configurations {↑,↓}</w:t>
      </w:r>
      <w:r>
        <w:rPr>
          <w:rFonts w:ascii="Times New Roman" w:hAnsi="Times New Roman"/>
          <w:b w:val="0"/>
          <w:i w:val="0"/>
          <w:sz w:val="22"/>
          <w:vertAlign w:val="superscript"/>
        </w:rPr>
        <w:t>n</w:t>
      </w:r>
      <w:r>
        <w:rPr>
          <w:rFonts w:ascii="Times New Roman" w:hAnsi="Times New Roman"/>
          <w:b w:val="0"/>
          <w:i w:val="0"/>
          <w:sz w:val="22"/>
        </w:rPr>
        <w:t xml:space="preserve">, with populations on the diagonal and spin coherences off it. This isolates the spin degrees of freedom from the charge while preserving the fermionic symmetries; </w:t>
      </w:r>
      <w:r>
        <w:rPr>
          <w:rFonts w:ascii="Times New Roman" w:hAnsi="Times New Roman"/>
          <w:b w:val="0"/>
          <w:i/>
          <w:sz w:val="22"/>
        </w:rPr>
        <w:t>Γ</w:t>
      </w:r>
      <w:r>
        <w:rPr>
          <w:rFonts w:ascii="Times New Roman" w:hAnsi="Times New Roman"/>
          <w:b w:val="0"/>
          <w:i w:val="0"/>
          <w:sz w:val="22"/>
          <w:vertAlign w:val="superscript"/>
        </w:rPr>
        <w:t>(n)</w:t>
      </w:r>
      <w:r>
        <w:rPr>
          <w:rFonts w:ascii="Times New Roman" w:hAnsi="Times New Roman"/>
          <w:b w:val="0"/>
          <w:i w:val="0"/>
          <w:sz w:val="22"/>
        </w:rPr>
        <w:t xml:space="preserve"> is Hermitian, positive semidefinite, and unit-trace. Finite-temperature states follow as Gibbs mixtures of the eigenstate matrices.</w:t>
      </w:r>
    </w:p>
    <w:p>
      <w:r>
        <w:rPr>
          <w:rFonts w:ascii="Times New Roman" w:hAnsi="Times New Roman"/>
          <w:b w:val="0"/>
          <w:i w:val="0"/>
          <w:sz w:val="22"/>
        </w:rPr>
        <w:t xml:space="preserve">For a pure state, GME is quantified by the genuinely multipartite concurrence — the weakest bipartite entanglement over all bipartitions of the cluster into two parts </w:t>
      </w:r>
      <w:r>
        <w:rPr>
          <w:rFonts w:ascii="Times New Roman" w:hAnsi="Times New Roman"/>
          <w:b w:val="0"/>
          <w:i/>
          <w:sz w:val="22"/>
        </w:rPr>
        <w:t>A</w:t>
      </w:r>
      <w:r>
        <w:rPr>
          <w:rFonts w:ascii="Times New Roman" w:hAnsi="Times New Roman"/>
          <w:b w:val="0"/>
          <w:i w:val="0"/>
          <w:sz w:val="22"/>
        </w:rPr>
        <w:t xml:space="preserve">, </w:t>
      </w:r>
      <w:r>
        <w:rPr>
          <w:rFonts w:ascii="Times New Roman" w:hAnsi="Times New Roman"/>
          <w:b w:val="0"/>
          <w:i/>
          <w:sz w:val="22"/>
        </w:rPr>
        <w:t>B</w:t>
      </w:r>
      <w:r>
        <w:rPr>
          <w:rFonts w:ascii="Times New Roman" w:hAnsi="Times New Roman"/>
          <w:b w:val="0"/>
          <w:i w:val="0"/>
          <w:sz w:val="22"/>
        </w:rPr>
        <w:t>:</w:t>
      </w:r>
    </w:p>
    <w:p>
      <w:pPr>
        <w:spacing w:before="80" w:after="160"/>
        <w:jc w:val="center"/>
      </w:pPr>
      <w:r>
        <w:rPr>
          <w:rFonts w:ascii="Cambria Math" w:hAnsi="Cambria Math"/>
          <w:b w:val="0"/>
          <w:i/>
          <w:sz w:val="22"/>
        </w:rPr>
        <w:t>C</w:t>
      </w:r>
      <w:r>
        <w:rPr>
          <w:rFonts w:ascii="Cambria Math" w:hAnsi="Cambria Math"/>
          <w:b w:val="0"/>
          <w:i w:val="0"/>
          <w:sz w:val="22"/>
          <w:vertAlign w:val="subscript"/>
        </w:rPr>
        <w:t>GME</w:t>
      </w:r>
      <w:r>
        <w:rPr>
          <w:rFonts w:ascii="Cambria Math" w:hAnsi="Cambria Math"/>
          <w:b w:val="0"/>
          <w:i w:val="0"/>
          <w:sz w:val="22"/>
        </w:rPr>
        <w:t>(</w:t>
      </w:r>
      <w:r>
        <w:rPr>
          <w:rFonts w:ascii="Cambria Math" w:hAnsi="Cambria Math"/>
          <w:b w:val="0"/>
          <w:i/>
          <w:sz w:val="22"/>
        </w:rPr>
        <w:t>φ</w:t>
      </w:r>
      <w:r>
        <w:rPr>
          <w:rFonts w:ascii="Cambria Math" w:hAnsi="Cambria Math"/>
          <w:b w:val="0"/>
          <w:i w:val="0"/>
          <w:sz w:val="22"/>
        </w:rPr>
        <w:t>) = min</w:t>
      </w:r>
      <w:r>
        <w:rPr>
          <w:rFonts w:ascii="Cambria Math" w:hAnsi="Cambria Math"/>
          <w:b w:val="0"/>
          <w:i w:val="0"/>
          <w:sz w:val="22"/>
          <w:vertAlign w:val="subscript"/>
        </w:rPr>
        <w:t>A|B</w:t>
      </w:r>
      <w:r>
        <w:rPr>
          <w:rFonts w:ascii="Cambria Math" w:hAnsi="Cambria Math"/>
          <w:b w:val="0"/>
          <w:i w:val="0"/>
          <w:sz w:val="22"/>
        </w:rPr>
        <w:t xml:space="preserve"> √[ 2 ( 1 − Tr </w:t>
      </w:r>
      <w:r>
        <w:rPr>
          <w:rFonts w:ascii="Cambria Math" w:hAnsi="Cambria Math"/>
          <w:b w:val="0"/>
          <w:i/>
          <w:sz w:val="22"/>
        </w:rPr>
        <w:t>ρ</w:t>
      </w:r>
      <w:r>
        <w:rPr>
          <w:rFonts w:ascii="Cambria Math" w:hAnsi="Cambria Math"/>
          <w:b w:val="0"/>
          <w:i w:val="0"/>
          <w:sz w:val="22"/>
          <w:vertAlign w:val="subscript"/>
        </w:rPr>
        <w:t>A</w:t>
      </w:r>
      <w:r>
        <w:rPr>
          <w:rFonts w:ascii="Cambria Math" w:hAnsi="Cambria Math"/>
          <w:b w:val="0"/>
          <w:i w:val="0"/>
          <w:sz w:val="22"/>
          <w:vertAlign w:val="superscript"/>
        </w:rPr>
        <w:t>2</w:t>
      </w:r>
      <w:r>
        <w:rPr>
          <w:rFonts w:ascii="Cambria Math" w:hAnsi="Cambria Math"/>
          <w:b w:val="0"/>
          <w:i w:val="0"/>
          <w:sz w:val="22"/>
        </w:rPr>
        <w:t xml:space="preserve"> ) ] ,</w:t>
      </w:r>
    </w:p>
    <w:p>
      <w:r>
        <w:rPr>
          <w:rFonts w:ascii="Times New Roman" w:hAnsi="Times New Roman"/>
          <w:b w:val="0"/>
          <w:i w:val="0"/>
          <w:sz w:val="22"/>
        </w:rPr>
        <w:t xml:space="preserve">where </w:t>
      </w:r>
      <w:r>
        <w:rPr>
          <w:rFonts w:ascii="Times New Roman" w:hAnsi="Times New Roman"/>
          <w:b w:val="0"/>
          <w:i/>
          <w:sz w:val="22"/>
        </w:rPr>
        <w:t>ρ</w:t>
      </w:r>
      <w:r>
        <w:rPr>
          <w:rFonts w:ascii="Times New Roman" w:hAnsi="Times New Roman"/>
          <w:b w:val="0"/>
          <w:i w:val="0"/>
          <w:sz w:val="22"/>
          <w:vertAlign w:val="subscript"/>
        </w:rPr>
        <w:t>A</w:t>
      </w:r>
      <w:r>
        <w:rPr>
          <w:rFonts w:ascii="Times New Roman" w:hAnsi="Times New Roman"/>
          <w:b w:val="0"/>
          <w:i w:val="0"/>
          <w:sz w:val="22"/>
        </w:rPr>
        <w:t xml:space="preserve"> is the reduced state of part </w:t>
      </w:r>
      <w:r>
        <w:rPr>
          <w:rFonts w:ascii="Times New Roman" w:hAnsi="Times New Roman"/>
          <w:b w:val="0"/>
          <w:i/>
          <w:sz w:val="22"/>
        </w:rPr>
        <w:t>A</w:t>
      </w:r>
      <w:r>
        <w:rPr>
          <w:rFonts w:ascii="Times New Roman" w:hAnsi="Times New Roman"/>
          <w:b w:val="0"/>
          <w:i w:val="0"/>
          <w:sz w:val="22"/>
        </w:rPr>
        <w:t xml:space="preserve">, minimized over all bipartitions of the </w:t>
      </w:r>
      <w:r>
        <w:rPr>
          <w:rFonts w:ascii="Times New Roman" w:hAnsi="Times New Roman"/>
          <w:b w:val="0"/>
          <w:i/>
          <w:sz w:val="22"/>
        </w:rPr>
        <w:t>n</w:t>
      </w:r>
      <w:r>
        <w:rPr>
          <w:rFonts w:ascii="Times New Roman" w:hAnsi="Times New Roman"/>
          <w:b w:val="0"/>
          <w:i w:val="0"/>
          <w:sz w:val="22"/>
        </w:rPr>
        <w:t xml:space="preserve"> spins. The extracted and thermal states are generally mixed, so their GME is defined through the convex-roof extension,</w:t>
      </w:r>
    </w:p>
    <w:p>
      <w:pPr>
        <w:spacing w:before="80" w:after="160"/>
        <w:jc w:val="center"/>
      </w:pPr>
      <w:r>
        <w:rPr>
          <w:rFonts w:ascii="Cambria Math" w:hAnsi="Cambria Math"/>
          <w:b w:val="0"/>
          <w:i/>
          <w:sz w:val="22"/>
        </w:rPr>
        <w:t>C</w:t>
      </w:r>
      <w:r>
        <w:rPr>
          <w:rFonts w:ascii="Cambria Math" w:hAnsi="Cambria Math"/>
          <w:b w:val="0"/>
          <w:i w:val="0"/>
          <w:sz w:val="22"/>
          <w:vertAlign w:val="subscript"/>
        </w:rPr>
        <w:t>GME</w:t>
      </w:r>
      <w:r>
        <w:rPr>
          <w:rFonts w:ascii="Cambria Math" w:hAnsi="Cambria Math"/>
          <w:b w:val="0"/>
          <w:i w:val="0"/>
          <w:sz w:val="22"/>
        </w:rPr>
        <w:t>(</w:t>
      </w:r>
      <w:r>
        <w:rPr>
          <w:rFonts w:ascii="Cambria Math" w:hAnsi="Cambria Math"/>
          <w:b w:val="0"/>
          <w:i/>
          <w:sz w:val="22"/>
        </w:rPr>
        <w:t>ρ</w:t>
      </w:r>
      <w:r>
        <w:rPr>
          <w:rFonts w:ascii="Cambria Math" w:hAnsi="Cambria Math"/>
          <w:b w:val="0"/>
          <w:i w:val="0"/>
          <w:sz w:val="22"/>
        </w:rPr>
        <w:t xml:space="preserve">) = min </w:t>
      </w:r>
      <w:r>
        <w:rPr>
          <w:rFonts w:ascii="Cambria Math" w:hAnsi="Cambria Math"/>
          <w:b w:val="0"/>
          <w:i w:val="0"/>
          <w:sz w:val="22"/>
        </w:rPr>
        <w:t>∑</w:t>
      </w:r>
      <w:r>
        <w:rPr>
          <w:rFonts w:ascii="Cambria Math" w:hAnsi="Cambria Math"/>
          <w:b w:val="0"/>
          <w:i w:val="0"/>
          <w:sz w:val="22"/>
          <w:vertAlign w:val="subscript"/>
        </w:rPr>
        <w:t>i</w:t>
      </w:r>
      <w:r>
        <w:rPr>
          <w:rFonts w:ascii="Cambria Math" w:hAnsi="Cambria Math"/>
          <w:b w:val="0"/>
          <w:i w:val="0"/>
          <w:sz w:val="22"/>
        </w:rPr>
        <w:t xml:space="preserve"> </w:t>
      </w:r>
      <w:r>
        <w:rPr>
          <w:rFonts w:ascii="Cambria Math" w:hAnsi="Cambria Math"/>
          <w:b w:val="0"/>
          <w:i/>
          <w:sz w:val="22"/>
        </w:rPr>
        <w:t>p</w:t>
      </w:r>
      <w:r>
        <w:rPr>
          <w:rFonts w:ascii="Cambria Math" w:hAnsi="Cambria Math"/>
          <w:b w:val="0"/>
          <w:i w:val="0"/>
          <w:sz w:val="22"/>
          <w:vertAlign w:val="subscript"/>
        </w:rPr>
        <w:t>i</w:t>
      </w:r>
      <w:r>
        <w:rPr>
          <w:rFonts w:ascii="Cambria Math" w:hAnsi="Cambria Math"/>
          <w:b w:val="0"/>
          <w:i w:val="0"/>
          <w:sz w:val="22"/>
        </w:rPr>
        <w:t xml:space="preserve"> </w:t>
      </w:r>
      <w:r>
        <w:rPr>
          <w:rFonts w:ascii="Cambria Math" w:hAnsi="Cambria Math"/>
          <w:b w:val="0"/>
          <w:i/>
          <w:sz w:val="22"/>
        </w:rPr>
        <w:t>C</w:t>
      </w:r>
      <w:r>
        <w:rPr>
          <w:rFonts w:ascii="Cambria Math" w:hAnsi="Cambria Math"/>
          <w:b w:val="0"/>
          <w:i w:val="0"/>
          <w:sz w:val="22"/>
          <w:vertAlign w:val="subscript"/>
        </w:rPr>
        <w:t>GME</w:t>
      </w:r>
      <w:r>
        <w:rPr>
          <w:rFonts w:ascii="Cambria Math" w:hAnsi="Cambria Math"/>
          <w:b w:val="0"/>
          <w:i w:val="0"/>
          <w:sz w:val="22"/>
        </w:rPr>
        <w:t>(</w:t>
      </w:r>
      <w:r>
        <w:rPr>
          <w:rFonts w:ascii="Cambria Math" w:hAnsi="Cambria Math"/>
          <w:b w:val="0"/>
          <w:i/>
          <w:sz w:val="22"/>
        </w:rPr>
        <w:t>φ</w:t>
      </w:r>
      <w:r>
        <w:rPr>
          <w:rFonts w:ascii="Cambria Math" w:hAnsi="Cambria Math"/>
          <w:b w:val="0"/>
          <w:i w:val="0"/>
          <w:sz w:val="22"/>
          <w:vertAlign w:val="subscript"/>
        </w:rPr>
        <w:t>i</w:t>
      </w:r>
      <w:r>
        <w:rPr>
          <w:rFonts w:ascii="Cambria Math" w:hAnsi="Cambria Math"/>
          <w:b w:val="0"/>
          <w:i w:val="0"/>
          <w:sz w:val="22"/>
        </w:rPr>
        <w:t>) ,</w:t>
      </w:r>
    </w:p>
    <w:p>
      <w:r>
        <w:rPr>
          <w:rFonts w:ascii="Times New Roman" w:hAnsi="Times New Roman"/>
          <w:b w:val="0"/>
          <w:i w:val="0"/>
          <w:sz w:val="22"/>
        </w:rPr>
        <w:t xml:space="preserve">the minimum mean concurrence over all decompositions </w:t>
      </w:r>
      <w:r>
        <w:rPr>
          <w:rFonts w:ascii="Times New Roman" w:hAnsi="Times New Roman"/>
          <w:b w:val="0"/>
          <w:i/>
          <w:sz w:val="22"/>
        </w:rPr>
        <w:t>ρ</w:t>
      </w:r>
      <w:r>
        <w:rPr>
          <w:rFonts w:ascii="Times New Roman" w:hAnsi="Times New Roman"/>
          <w:b w:val="0"/>
          <w:i w:val="0"/>
          <w:sz w:val="22"/>
        </w:rPr>
        <w:t xml:space="preserve"> = ∑</w:t>
      </w:r>
      <w:r>
        <w:rPr>
          <w:rFonts w:ascii="Times New Roman" w:hAnsi="Times New Roman"/>
          <w:b w:val="0"/>
          <w:i w:val="0"/>
          <w:sz w:val="22"/>
          <w:vertAlign w:val="subscript"/>
        </w:rPr>
        <w:t>i</w:t>
      </w:r>
      <w:r>
        <w:rPr>
          <w:rFonts w:ascii="Times New Roman" w:hAnsi="Times New Roman"/>
          <w:b w:val="0"/>
          <w:i w:val="0"/>
          <w:sz w:val="22"/>
        </w:rPr>
        <w:t xml:space="preserve"> </w:t>
      </w:r>
      <w:r>
        <w:rPr>
          <w:rFonts w:ascii="Times New Roman" w:hAnsi="Times New Roman"/>
          <w:b w:val="0"/>
          <w:i/>
          <w:sz w:val="22"/>
        </w:rPr>
        <w:t>p</w:t>
      </w:r>
      <w:r>
        <w:rPr>
          <w:rFonts w:ascii="Times New Roman" w:hAnsi="Times New Roman"/>
          <w:b w:val="0"/>
          <w:i w:val="0"/>
          <w:sz w:val="22"/>
          <w:vertAlign w:val="subscript"/>
        </w:rPr>
        <w:t>i</w:t>
      </w:r>
      <w:r>
        <w:rPr>
          <w:rFonts w:ascii="Times New Roman" w:hAnsi="Times New Roman"/>
          <w:b w:val="0"/>
          <w:i w:val="0"/>
          <w:sz w:val="22"/>
        </w:rPr>
        <w:t xml:space="preserve"> |</w:t>
      </w:r>
      <w:r>
        <w:rPr>
          <w:rFonts w:ascii="Times New Roman" w:hAnsi="Times New Roman"/>
          <w:b w:val="0"/>
          <w:i/>
          <w:sz w:val="22"/>
        </w:rPr>
        <w:t>φ</w:t>
      </w:r>
      <w:r>
        <w:rPr>
          <w:rFonts w:ascii="Times New Roman" w:hAnsi="Times New Roman"/>
          <w:b w:val="0"/>
          <w:i w:val="0"/>
          <w:sz w:val="22"/>
          <w:vertAlign w:val="subscript"/>
        </w:rPr>
        <w:t>i</w:t>
      </w:r>
      <w:r>
        <w:rPr>
          <w:rFonts w:ascii="Times New Roman" w:hAnsi="Times New Roman"/>
          <w:b w:val="0"/>
          <w:i w:val="0"/>
          <w:sz w:val="22"/>
        </w:rPr>
        <w:t>⟩⟨</w:t>
      </w:r>
      <w:r>
        <w:rPr>
          <w:rFonts w:ascii="Times New Roman" w:hAnsi="Times New Roman"/>
          <w:b w:val="0"/>
          <w:i/>
          <w:sz w:val="22"/>
        </w:rPr>
        <w:t>φ</w:t>
      </w:r>
      <w:r>
        <w:rPr>
          <w:rFonts w:ascii="Times New Roman" w:hAnsi="Times New Roman"/>
          <w:b w:val="0"/>
          <w:i w:val="0"/>
          <w:sz w:val="22"/>
          <w:vertAlign w:val="subscript"/>
        </w:rPr>
        <w:t>i</w:t>
      </w:r>
      <w:r>
        <w:rPr>
          <w:rFonts w:ascii="Times New Roman" w:hAnsi="Times New Roman"/>
          <w:b w:val="0"/>
          <w:i w:val="0"/>
          <w:sz w:val="22"/>
        </w:rPr>
        <w:t>|. It is optimized by a generalized conjugate-gradient method on the unitary group, cross-checked by a Stiefel-manifold parametrization.</w:t>
      </w:r>
    </w:p>
    <w:p>
      <w:r>
        <w:rPr>
          <w:rFonts w:ascii="Times New Roman" w:hAnsi="Times New Roman"/>
          <w:b w:val="0"/>
          <w:i w:val="0"/>
          <w:sz w:val="22"/>
        </w:rPr>
        <w:t xml:space="preserve">We map </w:t>
      </w:r>
      <w:r>
        <w:rPr>
          <w:rFonts w:ascii="Times New Roman" w:hAnsi="Times New Roman"/>
          <w:b w:val="0"/>
          <w:i/>
          <w:sz w:val="22"/>
        </w:rPr>
        <w:t>C</w:t>
      </w:r>
      <w:r>
        <w:rPr>
          <w:rFonts w:ascii="Times New Roman" w:hAnsi="Times New Roman"/>
          <w:b w:val="0"/>
          <w:i w:val="0"/>
          <w:sz w:val="22"/>
          <w:vertAlign w:val="subscript"/>
        </w:rPr>
        <w:t>GME</w:t>
      </w:r>
      <w:r>
        <w:rPr>
          <w:rFonts w:ascii="Times New Roman" w:hAnsi="Times New Roman"/>
          <w:b w:val="0"/>
          <w:i w:val="0"/>
          <w:sz w:val="22"/>
        </w:rPr>
        <w:t xml:space="preserve"> as a function of the cluster size </w:t>
      </w:r>
      <w:r>
        <w:rPr>
          <w:rFonts w:ascii="Times New Roman" w:hAnsi="Times New Roman"/>
          <w:b w:val="0"/>
          <w:i/>
          <w:sz w:val="22"/>
        </w:rPr>
        <w:t>n</w:t>
      </w:r>
      <w:r>
        <w:rPr>
          <w:rFonts w:ascii="Times New Roman" w:hAnsi="Times New Roman"/>
          <w:b w:val="0"/>
          <w:i w:val="0"/>
          <w:sz w:val="22"/>
        </w:rPr>
        <w:t xml:space="preserve">, the coupling ratio </w:t>
      </w:r>
      <w:r>
        <w:rPr>
          <w:rFonts w:ascii="Times New Roman" w:hAnsi="Times New Roman"/>
          <w:b w:val="0"/>
          <w:i/>
          <w:sz w:val="22"/>
        </w:rPr>
        <w:t>t</w:t>
      </w:r>
      <w:r>
        <w:rPr>
          <w:rFonts w:ascii="Times New Roman" w:hAnsi="Times New Roman"/>
          <w:b w:val="0"/>
          <w:i w:val="0"/>
          <w:sz w:val="22"/>
        </w:rPr>
        <w:t>/</w:t>
      </w:r>
      <w:r>
        <w:rPr>
          <w:rFonts w:ascii="Times New Roman" w:hAnsi="Times New Roman"/>
          <w:b w:val="0"/>
          <w:i/>
          <w:sz w:val="22"/>
        </w:rPr>
        <w:t>U</w:t>
      </w:r>
      <w:r>
        <w:rPr>
          <w:rFonts w:ascii="Times New Roman" w:hAnsi="Times New Roman"/>
          <w:b w:val="0"/>
          <w:i w:val="0"/>
          <w:sz w:val="22"/>
        </w:rPr>
        <w:t xml:space="preserve">, the temperature </w:t>
      </w:r>
      <w:r>
        <w:rPr>
          <w:rFonts w:ascii="Times New Roman" w:hAnsi="Times New Roman"/>
          <w:b w:val="0"/>
          <w:i/>
          <w:sz w:val="22"/>
        </w:rPr>
        <w:t>T</w:t>
      </w:r>
      <w:r>
        <w:rPr>
          <w:rFonts w:ascii="Times New Roman" w:hAnsi="Times New Roman"/>
          <w:b w:val="0"/>
          <w:i w:val="0"/>
          <w:sz w:val="22"/>
        </w:rPr>
        <w:t xml:space="preserve">, and the ring size </w:t>
      </w:r>
      <w:r>
        <w:rPr>
          <w:rFonts w:ascii="Times New Roman" w:hAnsi="Times New Roman"/>
          <w:b w:val="0"/>
          <w:i/>
          <w:sz w:val="22"/>
        </w:rPr>
        <w:t>N</w:t>
      </w:r>
      <w:r>
        <w:rPr>
          <w:rFonts w:ascii="Times New Roman" w:hAnsi="Times New Roman"/>
          <w:b w:val="0"/>
          <w:i w:val="0"/>
          <w:sz w:val="22"/>
        </w:rPr>
        <w:t xml:space="preserve">. Ground-state GME generally grows with cluster size, approaching its maximum for the whole ring. Temperature suppresses it on a scale set by the spectral gap, so entanglement survives to higher </w:t>
      </w:r>
      <w:r>
        <w:rPr>
          <w:rFonts w:ascii="Times New Roman" w:hAnsi="Times New Roman"/>
          <w:b w:val="0"/>
          <w:i/>
          <w:sz w:val="22"/>
        </w:rPr>
        <w:t>T</w:t>
      </w:r>
      <w:r>
        <w:rPr>
          <w:rFonts w:ascii="Times New Roman" w:hAnsi="Times New Roman"/>
          <w:b w:val="0"/>
          <w:i w:val="0"/>
          <w:sz w:val="22"/>
        </w:rPr>
        <w:t xml:space="preserve"> for larger </w:t>
      </w:r>
      <w:r>
        <w:rPr>
          <w:rFonts w:ascii="Times New Roman" w:hAnsi="Times New Roman"/>
          <w:b w:val="0"/>
          <w:i/>
          <w:sz w:val="22"/>
        </w:rPr>
        <w:t>t</w:t>
      </w:r>
      <w:r>
        <w:rPr>
          <w:rFonts w:ascii="Times New Roman" w:hAnsi="Times New Roman"/>
          <w:b w:val="0"/>
          <w:i w:val="0"/>
          <w:sz w:val="22"/>
        </w:rPr>
        <w:t>/</w:t>
      </w:r>
      <w:r>
        <w:rPr>
          <w:rFonts w:ascii="Times New Roman" w:hAnsi="Times New Roman"/>
          <w:b w:val="0"/>
          <w:i/>
          <w:sz w:val="22"/>
        </w:rPr>
        <w:t>U</w:t>
      </w:r>
      <w:r>
        <w:rPr>
          <w:rFonts w:ascii="Times New Roman" w:hAnsi="Times New Roman"/>
          <w:b w:val="0"/>
          <w:i w:val="0"/>
          <w:sz w:val="22"/>
        </w:rPr>
        <w:t xml:space="preserve">; near separability, thermal population of entangled excited states can instead activate GME. For </w:t>
      </w:r>
      <w:r>
        <w:rPr>
          <w:rFonts w:ascii="Times New Roman" w:hAnsi="Times New Roman"/>
          <w:b w:val="0"/>
          <w:i/>
          <w:sz w:val="22"/>
        </w:rPr>
        <w:t>n</w:t>
      </w:r>
      <w:r>
        <w:rPr>
          <w:rFonts w:ascii="Times New Roman" w:hAnsi="Times New Roman"/>
          <w:b w:val="0"/>
          <w:i w:val="0"/>
          <w:sz w:val="22"/>
        </w:rPr>
        <w:t xml:space="preserve"> = 2 the measure reduces exactly to the Wootters concurrence, an analytic benchmark.</w:t>
      </w:r>
    </w:p>
    <w:p>
      <w:r>
        <w:rPr>
          <w:rFonts w:ascii="Times New Roman" w:hAnsi="Times New Roman"/>
          <w:b w:val="0"/>
          <w:i w:val="0"/>
          <w:sz w:val="22"/>
        </w:rPr>
        <w:t>This framework links correlated electronic structure to effective spin entanglement, clarifying how genuine multipartite correlations respond to interactions, subsystem reduction, and temperature; the same construction extends to molecular π systems such as benzene.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