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500"/>
      </w:pPr>
      <w:r>
        <w:rPr>
          <w:rFonts w:ascii="Calibri" w:cs="Calibri" w:eastAsia="Calibri" w:hAnsi="Calibri"/>
          <w:b/>
          <w:bCs/>
          <w:color w:val="7F7F7F"/>
          <w:sz w:val="22"/>
          <w:szCs w:val="22"/>
        </w:rPr>
        <w:t xml:space="preserve">IMPLEMENTATION PLAN</w:t>
      </w:r>
    </w:p>
    <w:p>
      <w:pPr>
        <w:spacing w:after="120"/>
      </w:pPr>
      <w:r>
        <w:rPr>
          <w:rFonts w:ascii="Calibri" w:cs="Calibri" w:eastAsia="Calibri" w:hAnsi="Calibri"/>
          <w:b/>
          <w:bCs/>
          <w:color w:val="1F3864"/>
          <w:sz w:val="48"/>
          <w:szCs w:val="48"/>
        </w:rPr>
        <w:t xml:space="preserve">The Simplified Plan</w:t>
      </w:r>
    </w:p>
    <w:p>
      <w:pPr>
        <w:pBdr>
          <w:bottom w:val="single" w:color="1F3864" w:sz="10" w:space="8"/>
        </w:pBdr>
        <w:spacing w:after="280"/>
      </w:pPr>
      <w:r>
        <w:rPr>
          <w:rFonts w:ascii="Calibri" w:cs="Calibri" w:eastAsia="Calibri" w:hAnsi="Calibri"/>
          <w:i/>
          <w:iCs/>
          <w:color w:val="404040"/>
          <w:sz w:val="24"/>
          <w:szCs w:val="24"/>
        </w:rPr>
        <w:t xml:space="preserve">A global comparison of vegetation condition and provisioning capacity in intentional sustainable settlements, using Sentinel-2 imagery</w:t>
      </w:r>
    </w:p>
    <w:p>
      <w:pPr>
        <w:spacing w:after="60"/>
        <w:jc w:val="left"/>
      </w:pPr>
      <w:r>
        <w:rPr>
          <w:rFonts w:ascii="Calibri" w:cs="Calibri" w:eastAsia="Calibri" w:hAnsi="Calibri"/>
          <w:b/>
          <w:bCs/>
          <w:i w:val="false"/>
          <w:iCs w:val="false"/>
          <w:color w:val="000000"/>
          <w:sz w:val="21"/>
          <w:szCs w:val="21"/>
        </w:rPr>
        <w:t xml:space="preserve">Ramin</w:t>
      </w:r>
      <w:r>
        <w:rPr>
          <w:rFonts w:ascii="Calibri" w:cs="Calibri" w:eastAsia="Calibri" w:hAnsi="Calibri"/>
          <w:b w:val="false"/>
          <w:bCs w:val="false"/>
          <w:i w:val="false"/>
          <w:iCs w:val="false"/>
          <w:color w:val="000000"/>
          <w:sz w:val="21"/>
          <w:szCs w:val="21"/>
        </w:rPr>
        <w:t xml:space="preserve"> — M.Sc. Sustainable Architecture, Razi University of Kermanshah</w:t>
      </w:r>
    </w:p>
    <w:p>
      <w:pPr>
        <w:spacing w:after="280"/>
        <w:jc w:val="left"/>
      </w:pPr>
      <w:r>
        <w:rPr>
          <w:rFonts w:ascii="Calibri" w:cs="Calibri" w:eastAsia="Calibri" w:hAnsi="Calibri"/>
          <w:b w:val="false"/>
          <w:bCs w:val="false"/>
          <w:i w:val="false"/>
          <w:iCs w:val="false"/>
          <w:color w:val="000000"/>
          <w:sz w:val="21"/>
          <w:szCs w:val="21"/>
        </w:rPr>
        <w:t xml:space="preserve">Version 3.8 · August 2026 · Hand-drawn polygons, the window-scale check, and the control-distance ladder · Replaces v1.0 to v3.7, the nine-protocol set and all earlier plans</w:t>
      </w:r>
    </w:p>
    <w:tbl>
      <w:tblPr>
        <w:tblW w:type="dxa" w:w="9020"/>
        <w:tblBorders>
          <w:top w:val="none" w:color="FFFFFF" w:sz="0"/>
          <w:left w:val="single" w:color="2E5496" w:sz="18"/>
          <w:bottom w:val="none" w:color="FFFFFF" w:sz="0"/>
          <w:right w:val="none" w:color="FFFFFF" w:sz="0"/>
          <w:insideH w:val="none" w:color="FFFFFF" w:sz="0"/>
          <w:insideV w:val="none" w:color="FFFFFF" w:sz="0"/>
        </w:tblBorders>
      </w:tblPr>
      <w:tblGrid>
        <w:gridCol w:w="9020"/>
      </w:tblGrid>
      <w:tr>
        <w:tc>
          <w:tcPr>
            <w:tcW w:type="dxa" w:w="9020"/>
            <w:shd w:fill="EAF1FB" w:color="auto" w:val="clear"/>
            <w:tcMar>
              <w:top w:type="dxa" w:w="150"/>
              <w:left w:type="dxa" w:w="180"/>
              <w:bottom w:type="dxa" w:w="150"/>
              <w:right w:type="dxa" w:w="180"/>
            </w:tcMar>
          </w:tcPr>
          <w:p>
            <w:pPr>
              <w:spacing w:after="90"/>
            </w:pPr>
            <w:r>
              <w:rPr>
                <w:rFonts w:ascii="Calibri" w:cs="Calibri" w:eastAsia="Calibri" w:hAnsi="Calibri"/>
                <w:b/>
                <w:bCs/>
                <w:color w:val="2E5496"/>
                <w:sz w:val="21"/>
                <w:szCs w:val="21"/>
              </w:rPr>
              <w:t xml:space="preserve">What this document is</w:t>
            </w:r>
          </w:p>
          <w:p>
            <w:pPr>
              <w:spacing w:after="90" w:line="276"/>
              <w:jc w:val="both"/>
            </w:pPr>
            <w:r>
              <w:rPr>
                <w:rFonts w:ascii="Calibri" w:cs="Calibri" w:eastAsia="Calibri" w:hAnsi="Calibri"/>
                <w:sz w:val="20"/>
                <w:szCs w:val="20"/>
              </w:rPr>
              <w:t xml:space="preserve">One self-contained plan for the whole study. Nothing in it points to another document, and you do not need the old protocols to execute it.</w:t>
            </w:r>
          </w:p>
          <w:p>
            <w:pPr>
              <w:spacing w:after="90" w:line="276"/>
              <w:jc w:val="both"/>
            </w:pPr>
            <w:r>
              <w:rPr>
                <w:rFonts w:ascii="Calibri" w:cs="Calibri" w:eastAsia="Calibri" w:hAnsi="Calibri"/>
                <w:sz w:val="20"/>
                <w:szCs w:val="20"/>
              </w:rPr>
              <w:t xml:space="preserve">Version 2.0 followed a line-by-line audit of version 1.0. Ten problems were found, four of them serious enough to have produced a wrong or impossible result, and all ten were corrected. Version 2.0 also added the part that was missing entirely — Part 5, Data preparation — together with a complete variable register, named analyses, and a formula reference.</w:t>
            </w:r>
          </w:p>
          <w:p>
            <w:pPr>
              <w:spacing w:after="90" w:line="276"/>
              <w:jc w:val="both"/>
            </w:pPr>
            <w:r>
              <w:rPr>
                <w:rFonts w:ascii="Calibri" w:cs="Calibri" w:eastAsia="Calibri" w:hAnsi="Calibri"/>
                <w:sz w:val="20"/>
                <w:szCs w:val="20"/>
              </w:rPr>
              <w:t xml:space="preserve">Version 3.0 added a LONGITUDINAL COHORT and five credibility upgrades from external expert review. The cohort converts the study from purely cross-sectional to cross-sectional with a longitudinal validation layer, and makes the parallel-trends assumption testable rather than assumed.</w:t>
            </w:r>
          </w:p>
          <w:p>
            <w:pPr>
              <w:spacing w:after="90" w:line="276"/>
              <w:jc w:val="both"/>
            </w:pPr>
            <w:r>
              <w:rPr>
                <w:rFonts w:ascii="Calibri" w:cs="Calibri" w:eastAsia="Calibri" w:hAnsi="Calibri"/>
                <w:sz w:val="20"/>
                <w:szCs w:val="20"/>
              </w:rPr>
              <w:t xml:space="preserve">Version 3.3 adds three things, described in §0.4, all prompted by one question: can this study actually verify the permaculture and restoration claims these communities make? Version 3.2 before it added two things. Version 3.1 before it corrected one design error in the cohort and filled three gaps. The cohort now uses THREE pre-onset years and FOUR post-onset years rather than three and three — nothing in a difference-in-differences requires the windows to match, and three years is too short to see anything but the fastest practices. Two metrics were added, each carrying a signal nothing else in the set carries: a RED-EDGE index, which uses Sentinel-2’s single greatest advantage over Landsat and was entirely unused before, and a SEASONAL DECLINE RATE, which measures timing rather than duration. And the study now reports communities INDIVIDUALLY as well as on average, through a typology (§6.8) and a per-community results table (§10.4) — the latter being what the second study of this thesis will train on. Sections 0.4 and 0.5 list every change.</w:t>
            </w:r>
          </w:p>
        </w:tc>
      </w:tr>
    </w:tbl>
    <w:p>
      <w:r>
        <w:br w:type="page"/>
      </w:r>
    </w:p>
    <w:p>
      <w:pPr>
        <w:pStyle w:val="Heading1"/>
        <w:spacing w:after="200"/>
      </w:pPr>
      <w:r>
        <w:rPr>
          <w:rFonts w:ascii="Calibri" w:cs="Calibri" w:eastAsia="Calibri" w:hAnsi="Calibri"/>
          <w:b/>
          <w:bCs/>
          <w:color w:val="1F3864"/>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3864" w:sz="12" w:space="6"/>
        </w:pBdr>
        <w:spacing w:after="200" w:before="400"/>
      </w:pPr>
      <w:r>
        <w:rPr>
          <w:rFonts w:ascii="Calibri" w:cs="Calibri" w:eastAsia="Calibri" w:hAnsi="Calibri"/>
          <w:b/>
          <w:bCs/>
          <w:color w:val="1F3864"/>
          <w:sz w:val="32"/>
          <w:szCs w:val="32"/>
        </w:rPr>
        <w:t xml:space="preserve">Part 0  ·  Read this first</w:t>
      </w:r>
    </w:p>
    <w:p>
      <w:pPr>
        <w:pStyle w:val="Heading2"/>
        <w:spacing w:after="130" w:before="280"/>
      </w:pPr>
      <w:r>
        <w:rPr>
          <w:rFonts w:ascii="Calibri" w:cs="Calibri" w:eastAsia="Calibri" w:hAnsi="Calibri"/>
          <w:b/>
          <w:bCs/>
          <w:color w:val="2E5496"/>
          <w:sz w:val="25"/>
          <w:szCs w:val="25"/>
        </w:rPr>
        <w:t xml:space="preserve">0.1  Why the old protocol set was too heavy</w:t>
      </w:r>
    </w:p>
    <w:p>
      <w:pPr>
        <w:spacing w:after="120" w:line="276"/>
        <w:jc w:val="both"/>
      </w:pPr>
      <w:r>
        <w:rPr>
          <w:rFonts w:ascii="Calibri" w:cs="Calibri" w:eastAsia="Calibri" w:hAnsi="Calibri"/>
          <w:b w:val="false"/>
          <w:bCs w:val="false"/>
          <w:i w:val="false"/>
          <w:iCs w:val="false"/>
          <w:color w:val="000000"/>
          <w:sz w:val="21"/>
          <w:szCs w:val="21"/>
        </w:rPr>
        <w:t xml:space="preserve">The previous set of nine protocols was written in reaction to a discontinued study. That study returned a null result, and the diagnosis was that its measurement area was thirty times larger than the intervention it was measuring. The redesign fixed that — and then armoured every other decision against every objection that could conceivably be raised.</w:t>
      </w:r>
    </w:p>
    <w:p>
      <w:pPr>
        <w:spacing w:after="120" w:line="276"/>
        <w:jc w:val="both"/>
      </w:pPr>
      <w:r>
        <w:rPr>
          <w:rFonts w:ascii="Calibri" w:cs="Calibri" w:eastAsia="Calibri" w:hAnsi="Calibri"/>
          <w:b w:val="false"/>
          <w:bCs w:val="false"/>
          <w:i w:val="false"/>
          <w:iCs w:val="false"/>
          <w:color w:val="000000"/>
          <w:sz w:val="21"/>
          <w:szCs w:val="21"/>
        </w:rPr>
        <w:t xml:space="preserve">Most of that armour answers one specific suspicion: that the analysis was adjusted until it produced a favourable result. In fields where pre-registration is standard, that suspicion is the default and must be answered formally. In yours it is not. Answering it cost roughly two-thirds of the total effort and bought nothing in the reliability of what you will actually find.</w:t>
      </w:r>
    </w:p>
    <w:p>
      <w:pPr>
        <w:spacing w:after="120" w:line="276"/>
        <w:jc w:val="both"/>
      </w:pPr>
      <w:r>
        <w:rPr>
          <w:rFonts w:ascii="Calibri" w:cs="Calibri" w:eastAsia="Calibri" w:hAnsi="Calibri"/>
          <w:b/>
          <w:bCs/>
          <w:i w:val="false"/>
          <w:iCs w:val="false"/>
          <w:color w:val="000000"/>
          <w:sz w:val="21"/>
          <w:szCs w:val="21"/>
        </w:rPr>
        <w:t xml:space="preserve">The rule that governed the rewrite: </w:t>
      </w:r>
      <w:r>
        <w:rPr>
          <w:rFonts w:ascii="Calibri" w:cs="Calibri" w:eastAsia="Calibri" w:hAnsi="Calibri"/>
          <w:b w:val="false"/>
          <w:bCs w:val="false"/>
          <w:i w:val="false"/>
          <w:iCs w:val="false"/>
          <w:color w:val="000000"/>
          <w:sz w:val="21"/>
          <w:szCs w:val="21"/>
        </w:rPr>
        <w:t xml:space="preserve">some complexity protected the SCIENCE and some protected the APPEARANCE of rigour. The first is kept in full. The second is gone.</w:t>
      </w:r>
    </w:p>
    <w:p>
      <w:pPr>
        <w:pStyle w:val="Heading2"/>
        <w:spacing w:after="130" w:before="280"/>
      </w:pPr>
      <w:r>
        <w:rPr>
          <w:rFonts w:ascii="Calibri" w:cs="Calibri" w:eastAsia="Calibri" w:hAnsi="Calibri"/>
          <w:b/>
          <w:bCs/>
          <w:color w:val="2E5496"/>
          <w:sz w:val="25"/>
          <w:szCs w:val="25"/>
        </w:rPr>
        <w:t xml:space="preserve">0.2  What was removed from the old protocol set</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3000"/>
        <w:gridCol w:w="3620"/>
      </w:tblGrid>
      <w:tr>
        <w:trPr>
          <w:tblHeader/>
        </w:trPr>
        <w:tc>
          <w:tcPr>
            <w:tcW w:type="dxa" w:w="24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Removed</w:t>
            </w:r>
          </w:p>
        </w:tc>
        <w:tc>
          <w:tcPr>
            <w:tcW w:type="dxa" w:w="30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What it was</w:t>
            </w:r>
          </w:p>
        </w:tc>
        <w:tc>
          <w:tcPr>
            <w:tcW w:type="dxa" w:w="36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What removing it costs</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Eight-lock architecture</w:t>
            </w:r>
          </w:p>
        </w:tc>
        <w:tc>
          <w:tcPr>
            <w:tcW w:type="dxa" w:w="30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formal freeze of each class of decision, recorded as dated repository commits</w:t>
            </w:r>
          </w:p>
        </w:tc>
        <w:tc>
          <w:tcPr>
            <w:tcW w:type="dxa" w:w="3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Nothing scientific. One dated decisions log replaces it (Appendix A).</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Blind analysis</w:t>
            </w:r>
          </w:p>
        </w:tc>
        <w:tc>
          <w:tcPr>
            <w:tcW w:type="dxa" w:w="30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Withholding group labels from analysts until every specification was frozen</w:t>
            </w:r>
          </w:p>
        </w:tc>
        <w:tc>
          <w:tcPr>
            <w:tcW w:type="dxa" w:w="3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Nothing you can act on alone. One sequencing rule replaces it (§0.10).</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3,888-specification curve</w:t>
            </w:r>
          </w:p>
        </w:tc>
        <w:tc>
          <w:tcPr>
            <w:tcW w:type="dxa" w:w="30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Running every defensible combination of analytical choices</w:t>
            </w:r>
          </w:p>
        </w:tc>
        <w:tc>
          <w:tcPr>
            <w:tcW w:type="dxa" w:w="3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Little. Seventeen named sensitivity checks test the same decisions where they matter (Part 9).</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Boundary digitisation</w:t>
            </w:r>
          </w:p>
        </w:tc>
        <w:tc>
          <w:tcPr>
            <w:tcW w:type="dxa" w:w="30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240 hand-drawn landholding polygons with quality tiers and repeat-reliability testing</w:t>
            </w:r>
          </w:p>
        </w:tc>
        <w:tc>
          <w:tcPr>
            <w:tcW w:type="dxa" w:w="3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About 115 hours and two hypotheses — both replaced by the radial gradient, which needs no polygons.</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trade-off frontier</w:t>
            </w:r>
          </w:p>
        </w:tc>
        <w:tc>
          <w:tcPr>
            <w:tcW w:type="dxa" w:w="30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An empirical envelope per stratum, with each site measured against it</w:t>
            </w:r>
          </w:p>
        </w:tc>
        <w:tc>
          <w:tcPr>
            <w:tcW w:type="dxa" w:w="3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elegant framing, not the claim. The claim is now tested directly as two outcomes.</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Sentinel-1 radar</w:t>
            </w:r>
          </w:p>
        </w:tc>
        <w:tc>
          <w:tcPr>
            <w:tcW w:type="dxa" w:w="30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Structural metrics independent of greenness</w:t>
            </w:r>
          </w:p>
        </w:tc>
        <w:tc>
          <w:tcPr>
            <w:tcW w:type="dxa" w:w="3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Real but modest. The constellation gap covers 45% of the window.</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Carbon layer</w:t>
            </w:r>
          </w:p>
        </w:tc>
        <w:tc>
          <w:tcPr>
            <w:tcW w:type="dxa" w:w="30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Land-cover-based carbon bookkeeping</w:t>
            </w:r>
          </w:p>
        </w:tc>
        <w:tc>
          <w:tcPr>
            <w:tcW w:type="dxa" w:w="3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Nothing. Derived from data already in the index and unvalidatable.</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Half the metrics, half the flags</w:t>
            </w:r>
          </w:p>
        </w:tc>
        <w:tc>
          <w:tcPr>
            <w:tcW w:type="dxa" w:w="30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26 rescaled metrics and 4 flags with 15 components</w:t>
            </w:r>
          </w:p>
        </w:tc>
        <w:tc>
          <w:tcPr>
            <w:tcW w:type="dxa" w:w="3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Little. Seventeen metrics and two flags carry nearly all the discrimination.</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Three-tier disclosure system</w:t>
            </w:r>
          </w:p>
        </w:tc>
        <w:tc>
          <w:tcPr>
            <w:tcW w:type="dxa" w:w="30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Public, controlled and restricted access with a formal data-use agreement</w:t>
            </w:r>
          </w:p>
        </w:tc>
        <w:tc>
          <w:tcPr>
            <w:tcW w:type="dxa" w:w="3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Nothing at your scale. One rule replaces it: do not publish coordinates without consent.</w:t>
            </w:r>
          </w:p>
        </w:tc>
      </w:tr>
    </w:tbl>
    <w:p>
      <w:pPr>
        <w:spacing w:after="140"/>
      </w:pPr>
    </w:p>
    <w:p>
      <w:pPr>
        <w:pStyle w:val="Heading2"/>
        <w:spacing w:after="130" w:before="280"/>
      </w:pPr>
      <w:r>
        <w:rPr>
          <w:rFonts w:ascii="Calibri" w:cs="Calibri" w:eastAsia="Calibri" w:hAnsi="Calibri"/>
          <w:b/>
          <w:bCs/>
          <w:color w:val="2E5496"/>
          <w:sz w:val="25"/>
          <w:szCs w:val="25"/>
        </w:rPr>
        <w:t xml:space="preserve">0.3  The audit — ten problems found in version 1.0</w:t>
      </w:r>
    </w:p>
    <w:p>
      <w:pPr>
        <w:spacing w:after="120" w:line="276"/>
        <w:jc w:val="both"/>
      </w:pPr>
      <w:r>
        <w:rPr>
          <w:rFonts w:ascii="Calibri" w:cs="Calibri" w:eastAsia="Calibri" w:hAnsi="Calibri"/>
          <w:b w:val="false"/>
          <w:bCs w:val="false"/>
          <w:i w:val="false"/>
          <w:iCs w:val="false"/>
          <w:color w:val="000000"/>
          <w:sz w:val="21"/>
          <w:szCs w:val="21"/>
        </w:rPr>
        <w:t xml:space="preserve">Version 1.0 was written quickly and had errors. Four would have produced a wrong or impossible result; six were gaps. All are corrected here.</w:t>
      </w:r>
    </w:p>
    <w:p>
      <w:pPr>
        <w:pStyle w:val="Heading3"/>
        <w:spacing w:after="110" w:before="220"/>
      </w:pPr>
      <w:r>
        <w:rPr>
          <w:rFonts w:ascii="Calibri" w:cs="Calibri" w:eastAsia="Calibri" w:hAnsi="Calibri"/>
          <w:b/>
          <w:bCs/>
          <w:color w:val="2E5496"/>
          <w:sz w:val="22"/>
          <w:szCs w:val="22"/>
        </w:rPr>
        <w:t xml:space="preserve">The four serious ones</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700"/>
        <w:gridCol w:w="2400"/>
        <w:gridCol w:w="5920"/>
      </w:tblGrid>
      <w:tr>
        <w:trPr>
          <w:tblHeader/>
        </w:trPr>
        <w:tc>
          <w:tcPr>
            <w:tcW w:type="dxa" w:w="7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c>
          <w:tcPr>
            <w:tcW w:type="dxa" w:w="24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Problem</w:t>
            </w:r>
          </w:p>
        </w:tc>
        <w:tc>
          <w:tcPr>
            <w:tcW w:type="dxa" w:w="59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Correction</w:t>
            </w:r>
          </w:p>
        </w:tc>
      </w:tr>
      <w:tr>
        <w:tc>
          <w:tcPr>
            <w:tcW w:type="dxa" w:w="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w:t>
            </w:r>
          </w:p>
        </w:tc>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PROVISIONING HAD NO VALID CEILING. v1.0 rescaled every metric against natural reference sites as the upper anchor. Natural sites produce almost nothing harvestable, so using them as the ceiling for provisioning capacity would have given nearly every settlement and control a score near 1.0 and destroyed all discrimination on the second primary outcome.</w:t>
            </w:r>
          </w:p>
        </w:tc>
        <w:tc>
          <w:tcPr>
            <w:tcW w:type="dxa" w:w="59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THIRD reference pool is added: productive reference sites, being high-output managed farmland. The two axes now anchor differently and symmetrically — condition runs from semi-urban floor to natural ceiling, provisioning runs from natural floor to productive ceiling (§6.2).</w:t>
            </w:r>
          </w:p>
        </w:tc>
      </w:tr>
      <w:tr>
        <w:tc>
          <w:tcPr>
            <w:tcW w:type="dxa" w:w="7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w:t>
            </w:r>
          </w:p>
        </w:tc>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HYPOTHESIS H7 WAS CIRCULAR. Semi-urban sites were simultaneously the floor of the condition scale AND the comparison group for the density hypothesis. Rescaled against themselves, they score near zero by construction, so H7 would have "confirmed" a difference that the arithmetic created.</w:t>
            </w:r>
          </w:p>
        </w:tc>
        <w:tc>
          <w:tcPr>
            <w:tcW w:type="dxa" w:w="59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semi-urban pool is drawn larger and SPLIT with a recorded seed: two-thirds set the reference floor, one-third is held out and used only for H7. The two subsets are disjoint, so the comparison is no longer against the scale’s own definition (§6.2, §8.8).</w:t>
            </w:r>
          </w:p>
        </w:tc>
      </w:tr>
      <w:tr>
        <w:tc>
          <w:tcPr>
            <w:tcW w:type="dxa" w:w="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3</w:t>
            </w:r>
          </w:p>
        </w:tc>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HYPOTHESIS H5 WAS IMPOSSIBLE AS WRITTEN. It called for the index rebuilt from management-diagnostic metrics only. But productivity and structure contain no such metrics at all, so a four-dimension geometric mean cannot be formed from them.</w:t>
            </w:r>
          </w:p>
        </w:tc>
        <w:tc>
          <w:tcPr>
            <w:tcW w:type="dxa" w:w="59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H5 is redefined as a comparison on the MANAGEMENT-DIAGNOSTIC SCORE — the arithmetic mean of the seven management-dominated metrics, treated as one scale rather than as a four-dimension index (§6.6, §8.6).</w:t>
            </w:r>
          </w:p>
        </w:tc>
      </w:tr>
      <w:tr>
        <w:tc>
          <w:tcPr>
            <w:tcW w:type="dxa" w:w="7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4</w:t>
            </w:r>
          </w:p>
        </w:tc>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RADIAL GRADIENT COULD NOT COVER ALL FOUR DIMENSIONS. Configuration metrics use a 70 m moving window, which is 140 m across — wider than three of the five rings. Every per-ring configuration value would have been a blend of its neighbours.</w:t>
            </w:r>
          </w:p>
        </w:tc>
        <w:tc>
          <w:tcPr>
            <w:tcW w:type="dxa" w:w="59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H3 is stated as covering THREE dimensions — productivity, persistence and structure. Configuration remains a site-level quantity only, and the plan says so rather than presenting a four-dimension gradient in which one dimension is silently smeared (§8.4).</w:t>
            </w:r>
          </w:p>
        </w:tc>
      </w:tr>
    </w:tbl>
    <w:p>
      <w:pPr>
        <w:spacing w:after="140"/>
      </w:pPr>
    </w:p>
    <w:p>
      <w:pPr>
        <w:pStyle w:val="Heading3"/>
        <w:spacing w:after="110" w:before="220"/>
      </w:pPr>
      <w:r>
        <w:rPr>
          <w:rFonts w:ascii="Calibri" w:cs="Calibri" w:eastAsia="Calibri" w:hAnsi="Calibri"/>
          <w:b/>
          <w:bCs/>
          <w:color w:val="2E5496"/>
          <w:sz w:val="22"/>
          <w:szCs w:val="22"/>
        </w:rPr>
        <w:t xml:space="preserve">The six gaps</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700"/>
        <w:gridCol w:w="2400"/>
        <w:gridCol w:w="5920"/>
      </w:tblGrid>
      <w:tr>
        <w:trPr>
          <w:tblHeader/>
        </w:trPr>
        <w:tc>
          <w:tcPr>
            <w:tcW w:type="dxa" w:w="7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c>
          <w:tcPr>
            <w:tcW w:type="dxa" w:w="24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Gap</w:t>
            </w:r>
          </w:p>
        </w:tc>
        <w:tc>
          <w:tcPr>
            <w:tcW w:type="dxa" w:w="59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Correction</w:t>
            </w:r>
          </w:p>
        </w:tc>
      </w:tr>
      <w:tr>
        <w:tc>
          <w:tcPr>
            <w:tcW w:type="dxa" w:w="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5</w:t>
            </w:r>
          </w:p>
        </w:tc>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NO DATA PREPARATION SECTION. v1.0 went from extraction straight to analysis with one thin stage in between. Data preparation is where most real studies fail, and it was almost absent.</w:t>
            </w:r>
          </w:p>
        </w:tc>
        <w:tc>
          <w:tcPr>
            <w:tcW w:type="dxa" w:w="59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Part 5 is new and is the longest part of this plan. It covers masking, compositing, gap handling, quality screening, panel assembly, integrity checks, outliers and the missing-data rules.</w:t>
            </w:r>
          </w:p>
        </w:tc>
      </w:tr>
      <w:tr>
        <w:tc>
          <w:tcPr>
            <w:tcW w:type="dxa" w:w="7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6</w:t>
            </w:r>
          </w:p>
        </w:tc>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UNIT OF ANALYSIS WAS NEVER STATED. The model was written as "outcome ~ site_type + …" without saying whether a row is a site or a site-year. These give different standard errors and different answers.</w:t>
            </w:r>
          </w:p>
        </w:tc>
        <w:tc>
          <w:tcPr>
            <w:tcW w:type="dxa" w:w="59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§8.2 fixes it: the primary outcome is the SEVEN-YEAR MEAN at site level, one row per site. The site-year panel is used only for the stability metric and the two flags.</w:t>
            </w:r>
          </w:p>
        </w:tc>
      </w:tr>
      <w:tr>
        <w:tc>
          <w:tcPr>
            <w:tcW w:type="dxa" w:w="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7</w:t>
            </w:r>
          </w:p>
        </w:tc>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H2 WAS AN EQUIVALENCE CLAIM TESTED AS A NULL. "Provisioning is not lower" cannot be established by failing to reject a difference — absence of evidence is not evidence of absence.</w:t>
            </w:r>
          </w:p>
        </w:tc>
        <w:tc>
          <w:tcPr>
            <w:tcW w:type="dxa" w:w="59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§8.3 specifies a proper equivalence test with a declared margin of 0.15 standard deviations, using two one-sided tests. This is the correct instrument for the claim and it changes what H2 can conclude.</w:t>
            </w:r>
          </w:p>
        </w:tc>
      </w:tr>
      <w:tr>
        <w:tc>
          <w:tcPr>
            <w:tcW w:type="dxa" w:w="7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8</w:t>
            </w:r>
          </w:p>
        </w:tc>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NO MINIMUM-PIXEL RULE FOR RINGS. Ring 1 spans 0–50 m and sits over the built core. After built-up masking it may contain almost no vegetated pixels at all.</w:t>
            </w:r>
          </w:p>
        </w:tc>
        <w:tc>
          <w:tcPr>
            <w:tcW w:type="dxa" w:w="59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§5.6 sets a floor of 30 valid pixels per ring per year; below it the ring is recorded as missing rather than computed from a fragment.</w:t>
            </w:r>
          </w:p>
        </w:tc>
      </w:tr>
      <w:tr>
        <w:tc>
          <w:tcPr>
            <w:tcW w:type="dxa" w:w="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9</w:t>
            </w:r>
          </w:p>
        </w:tc>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NO PER-HYPOTHESIS DETECTABLE DIFFERENCES. Only one figure was given, for H1. Interactions and within-settlement comparisons are much less well powered, and reporting one number for all of them would have overstated the weaker tests.</w:t>
            </w:r>
          </w:p>
        </w:tc>
        <w:tc>
          <w:tcPr>
            <w:tcW w:type="dxa" w:w="59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§8.12 gives the detectable difference for each of the nine hypotheses separately.</w:t>
            </w:r>
          </w:p>
        </w:tc>
      </w:tr>
      <w:tr>
        <w:tc>
          <w:tcPr>
            <w:tcW w:type="dxa" w:w="7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10</w:t>
            </w:r>
          </w:p>
        </w:tc>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SURVIVORSHIP WAS DROPPED WITHOUT COMMENT. Directories list communities that survived. Those that failed are absent, and they are precisely the ones whose ecological outcome was least favourable.</w:t>
            </w:r>
          </w:p>
        </w:tc>
        <w:tc>
          <w:tcPr>
            <w:tcW w:type="dxa" w:w="59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§11.4 states this as a limitation with a low-cost partial remedy, rather than leaving it unmentioned.</w:t>
            </w:r>
          </w:p>
        </w:tc>
      </w:tr>
    </w:tbl>
    <w:p>
      <w:pPr>
        <w:spacing w:after="140"/>
      </w:pPr>
    </w:p>
    <w:p>
      <w:pPr>
        <w:pStyle w:val="Heading2"/>
        <w:spacing w:after="130" w:before="280"/>
      </w:pPr>
      <w:r>
        <w:rPr>
          <w:rFonts w:ascii="Calibri" w:cs="Calibri" w:eastAsia="Calibri" w:hAnsi="Calibri"/>
          <w:b/>
          <w:bCs/>
          <w:color w:val="2E5496"/>
          <w:sz w:val="25"/>
          <w:szCs w:val="25"/>
        </w:rPr>
        <w:t xml:space="preserve">0.4  What versions 3.4 to 3.6 change — read this before anything else</w:t>
      </w:r>
    </w:p>
    <w:p>
      <w:pPr>
        <w:spacing w:after="120" w:line="276"/>
        <w:jc w:val="both"/>
      </w:pPr>
      <w:r>
        <w:rPr>
          <w:rFonts w:ascii="Calibri" w:cs="Calibri" w:eastAsia="Calibri" w:hAnsi="Calibri"/>
          <w:b w:val="false"/>
          <w:bCs w:val="false"/>
          <w:i w:val="false"/>
          <w:iCs w:val="false"/>
          <w:color w:val="000000"/>
          <w:sz w:val="21"/>
          <w:szCs w:val="21"/>
        </w:rPr>
        <w:t xml:space="preserve">Five changes. The first three sized the measurement circle to each community; the fourth replaces the circle altogether with a hand-drawn outline of the land each community actually works; the fifth relaxes how far a control may be, but only as a last resort. Nothing is removed; several things are re-scoped.</w:t>
      </w:r>
    </w:p>
    <w:p>
      <w:pPr>
        <w:pStyle w:val="Heading3"/>
        <w:spacing w:after="110" w:before="220"/>
      </w:pPr>
      <w:r>
        <w:rPr>
          <w:rFonts w:ascii="Calibri" w:cs="Calibri" w:eastAsia="Calibri" w:hAnsi="Calibri"/>
          <w:b/>
          <w:bCs/>
          <w:color w:val="2E5496"/>
          <w:sz w:val="22"/>
          <w:szCs w:val="22"/>
        </w:rPr>
        <w:t xml:space="preserve">Change A — the measurement zone is now size-matched</w:t>
      </w:r>
    </w:p>
    <w:p>
      <w:pPr>
        <w:spacing w:after="120" w:line="276"/>
        <w:jc w:val="both"/>
      </w:pPr>
      <w:r>
        <w:rPr>
          <w:rFonts w:ascii="Calibri" w:cs="Calibri" w:eastAsia="Calibri" w:hAnsi="Calibri"/>
          <w:b w:val="false"/>
          <w:bCs w:val="false"/>
          <w:i w:val="false"/>
          <w:iCs w:val="false"/>
          <w:color w:val="000000"/>
          <w:sz w:val="21"/>
          <w:szCs w:val="21"/>
        </w:rPr>
        <w:t xml:space="preserve">Until now every community was measured over a 150 metre circle. That was a large improvement on the 500 metre disk it replaced, but it still applies one lens to communities working anywhere from one hectare to fifty. A community managing two hectares fills only 28 per cent of a 150 metre zone, so nearly three-quarters of what is measured is somebody else’s land.</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1500"/>
        <w:gridCol w:w="1900"/>
        <w:gridCol w:w="1300"/>
        <w:gridCol w:w="1400"/>
        <w:gridCol w:w="1300"/>
        <w:gridCol w:w="1620"/>
      </w:tblGrid>
      <w:tr>
        <w:trPr>
          <w:tblHeader/>
        </w:trPr>
        <w:tc>
          <w:tcPr>
            <w:tcW w:type="dxa" w:w="15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Class</w:t>
            </w:r>
          </w:p>
        </w:tc>
        <w:tc>
          <w:tcPr>
            <w:tcW w:type="dxa" w:w="19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Managed area</w:t>
            </w:r>
          </w:p>
        </w:tc>
        <w:tc>
          <w:tcPr>
            <w:tcW w:type="dxa" w:w="13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Radius</w:t>
            </w:r>
          </w:p>
        </w:tc>
        <w:tc>
          <w:tcPr>
            <w:tcW w:type="dxa" w:w="14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Zone area</w:t>
            </w:r>
          </w:p>
        </w:tc>
        <w:tc>
          <w:tcPr>
            <w:tcW w:type="dxa" w:w="13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Buffer</w:t>
            </w:r>
          </w:p>
        </w:tc>
        <w:tc>
          <w:tcPr>
            <w:tcW w:type="dxa" w:w="16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Share of sample</w:t>
            </w:r>
          </w:p>
        </w:tc>
      </w:tr>
      <w:tr>
        <w:tc>
          <w:tcPr>
            <w:tcW w:type="dxa" w:w="15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SMALL</w:t>
            </w:r>
          </w:p>
        </w:tc>
        <w:tc>
          <w:tcPr>
            <w:tcW w:type="dxa" w:w="19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under 6 ha</w:t>
            </w:r>
          </w:p>
        </w:tc>
        <w:tc>
          <w:tcPr>
            <w:tcW w:type="dxa" w:w="13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100 m</w:t>
            </w:r>
          </w:p>
        </w:tc>
        <w:tc>
          <w:tcPr>
            <w:tcW w:type="dxa" w:w="1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3.14 ha</w:t>
            </w:r>
          </w:p>
        </w:tc>
        <w:tc>
          <w:tcPr>
            <w:tcW w:type="dxa" w:w="13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170 m</w:t>
            </w:r>
          </w:p>
        </w:tc>
        <w:tc>
          <w:tcPr>
            <w:tcW w:type="dxa" w:w="1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Reported from Stage 1</w:t>
            </w:r>
          </w:p>
        </w:tc>
      </w:tr>
      <w:tr>
        <w:tc>
          <w:tcPr>
            <w:tcW w:type="dxa" w:w="15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MEDIUM</w:t>
            </w:r>
          </w:p>
        </w:tc>
        <w:tc>
          <w:tcPr>
            <w:tcW w:type="dxa" w:w="19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6 to 12 ha</w:t>
            </w:r>
          </w:p>
        </w:tc>
        <w:tc>
          <w:tcPr>
            <w:tcW w:type="dxa" w:w="13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150 m</w:t>
            </w:r>
          </w:p>
        </w:tc>
        <w:tc>
          <w:tcPr>
            <w:tcW w:type="dxa" w:w="1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7.07 ha</w:t>
            </w:r>
          </w:p>
        </w:tc>
        <w:tc>
          <w:tcPr>
            <w:tcW w:type="dxa" w:w="13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220 m</w:t>
            </w:r>
          </w:p>
        </w:tc>
        <w:tc>
          <w:tcPr>
            <w:tcW w:type="dxa" w:w="1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Reported from Stage 1</w:t>
            </w:r>
          </w:p>
        </w:tc>
      </w:tr>
      <w:tr>
        <w:tc>
          <w:tcPr>
            <w:tcW w:type="dxa" w:w="15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LARGE</w:t>
            </w:r>
          </w:p>
        </w:tc>
        <w:tc>
          <w:tcPr>
            <w:tcW w:type="dxa" w:w="19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over 12 ha</w:t>
            </w:r>
          </w:p>
        </w:tc>
        <w:tc>
          <w:tcPr>
            <w:tcW w:type="dxa" w:w="13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200 m</w:t>
            </w:r>
          </w:p>
        </w:tc>
        <w:tc>
          <w:tcPr>
            <w:tcW w:type="dxa" w:w="1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12.57 ha</w:t>
            </w:r>
          </w:p>
        </w:tc>
        <w:tc>
          <w:tcPr>
            <w:tcW w:type="dxa" w:w="13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270 m</w:t>
            </w:r>
          </w:p>
        </w:tc>
        <w:tc>
          <w:tcPr>
            <w:tcW w:type="dxa" w:w="1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Reported from Stage 1</w:t>
            </w:r>
          </w:p>
        </w:tc>
      </w:tr>
      <w:tr>
        <w:tc>
          <w:tcPr>
            <w:tcW w:type="dxa" w:w="15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UNKNOWN</w:t>
            </w:r>
          </w:p>
        </w:tc>
        <w:tc>
          <w:tcPr>
            <w:tcW w:type="dxa" w:w="19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not coded</w:t>
            </w:r>
          </w:p>
        </w:tc>
        <w:tc>
          <w:tcPr>
            <w:tcW w:type="dxa" w:w="13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150 m (default)</w:t>
            </w:r>
          </w:p>
        </w:tc>
        <w:tc>
          <w:tcPr>
            <w:tcW w:type="dxa" w:w="1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7.07 ha</w:t>
            </w:r>
          </w:p>
        </w:tc>
        <w:tc>
          <w:tcPr>
            <w:tcW w:type="dxa" w:w="13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220 m</w:t>
            </w:r>
          </w:p>
        </w:tc>
        <w:tc>
          <w:tcPr>
            <w:tcW w:type="dxa" w:w="1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Flagged; excluded in SC16</w:t>
            </w:r>
          </w:p>
        </w:tc>
      </w:tr>
    </w:tbl>
    <w:p>
      <w:pPr>
        <w:spacing w:after="120"/>
      </w:pPr>
    </w:p>
    <w:p>
      <w:pPr>
        <w:spacing w:after="120" w:line="276"/>
        <w:jc w:val="both"/>
      </w:pPr>
      <w:r>
        <w:rPr>
          <w:rFonts w:ascii="Calibri" w:cs="Calibri" w:eastAsia="Calibri" w:hAnsi="Calibri"/>
          <w:b/>
          <w:bCs/>
          <w:i w:val="false"/>
          <w:iCs w:val="false"/>
          <w:color w:val="000000"/>
          <w:sz w:val="21"/>
          <w:szCs w:val="21"/>
        </w:rPr>
        <w:t xml:space="preserve">Where the boundaries come from. </w:t>
      </w:r>
      <w:r>
        <w:rPr>
          <w:rFonts w:ascii="Calibri" w:cs="Calibri" w:eastAsia="Calibri" w:hAnsi="Calibri"/>
          <w:b w:val="false"/>
          <w:bCs w:val="false"/>
          <w:i w:val="false"/>
          <w:iCs w:val="false"/>
          <w:color w:val="000000"/>
          <w:sz w:val="21"/>
          <w:szCs w:val="21"/>
        </w:rPr>
        <w:t xml:space="preserve">They are not chosen — they are calculated. A smaller zone is noisier but captures more of the intervention; a larger zone is quieter but dilutes it. The crossover point, where the two exactly balance, falls at 6.4 hectares between 100 m and 150 m, and at 11.6 hectares between 150 m and 200 m. Rounded to 6 and 12. Because the crossover is where the two radii perform IDENTICALLY, a community misclassified by one bin near a boundary loses almost nothing — only gross misclassification matters, which makes this far more forgiving than a continuous per-site radius.</w:t>
      </w:r>
    </w:p>
    <w:p>
      <w:pPr>
        <w:spacing w:after="120"/>
      </w:pPr>
    </w:p>
    <w:p>
      <w:pPr>
        <w:spacing w:after="120" w:line="276"/>
        <w:jc w:val="both"/>
      </w:pPr>
      <w:r>
        <w:rPr>
          <w:rFonts w:ascii="Calibri" w:cs="Calibri" w:eastAsia="Calibri" w:hAnsi="Calibri"/>
          <w:b w:val="false"/>
          <w:bCs w:val="false"/>
          <w:i w:val="false"/>
          <w:iCs w:val="false"/>
          <w:color w:val="000000"/>
          <w:sz w:val="21"/>
          <w:szCs w:val="21"/>
        </w:rPr>
        <w:t xml:space="preserve">The buffer is always the radius plus 70 metres, because the configuration window has a 70 metre radius and a window centred at the edge of the zone must be complete.</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200"/>
        <w:gridCol w:w="3200"/>
        <w:gridCol w:w="3620"/>
      </w:tblGrid>
      <w:tr>
        <w:trPr>
          <w:tblHeader/>
        </w:trPr>
        <w:tc>
          <w:tcPr>
            <w:tcW w:type="dxa" w:w="22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Managed area</w:t>
            </w:r>
          </w:p>
        </w:tc>
        <w:tc>
          <w:tcPr>
            <w:tcW w:type="dxa" w:w="32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Detectability under the old fixed 150 m</w:t>
            </w:r>
          </w:p>
        </w:tc>
        <w:tc>
          <w:tcPr>
            <w:tcW w:type="dxa" w:w="36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Under the size-matched zone</w:t>
            </w:r>
          </w:p>
        </w:tc>
      </w:tr>
      <w:tr>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 ha</w:t>
            </w:r>
          </w:p>
        </w:tc>
        <w:tc>
          <w:tcPr>
            <w:tcW w:type="dxa" w:w="3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0.72 × the detectable difference — UNDETECTABLE</w:t>
            </w:r>
          </w:p>
        </w:tc>
        <w:tc>
          <w:tcPr>
            <w:tcW w:type="dxa" w:w="3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1.44 × at 100 m — detectable</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 ha</w:t>
            </w:r>
          </w:p>
        </w:tc>
        <w:tc>
          <w:tcPr>
            <w:tcW w:type="dxa" w:w="3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1.43 ×</w:t>
            </w:r>
          </w:p>
        </w:tc>
        <w:tc>
          <w:tcPr>
            <w:tcW w:type="dxa" w:w="3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2.89 × at 100 m</w:t>
            </w:r>
          </w:p>
        </w:tc>
      </w:tr>
      <w:tr>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3 ha</w:t>
            </w:r>
          </w:p>
        </w:tc>
        <w:tc>
          <w:tcPr>
            <w:tcW w:type="dxa" w:w="3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2.15 ×</w:t>
            </w:r>
          </w:p>
        </w:tc>
        <w:tc>
          <w:tcPr>
            <w:tcW w:type="dxa" w:w="3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4.33 × at 100 m</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5 to 10 ha</w:t>
            </w:r>
          </w:p>
        </w:tc>
        <w:tc>
          <w:tcPr>
            <w:tcW w:type="dxa" w:w="3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3.6 to 5.1 ×</w:t>
            </w:r>
          </w:p>
        </w:tc>
        <w:tc>
          <w:tcPr>
            <w:tcW w:type="dxa" w:w="3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Unchanged — this class already used 150 m</w:t>
            </w:r>
          </w:p>
        </w:tc>
      </w:tr>
      <w:tr>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over 12 ha</w:t>
            </w:r>
          </w:p>
        </w:tc>
        <w:tc>
          <w:tcPr>
            <w:tcW w:type="dxa" w:w="3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5.06 ×</w:t>
            </w:r>
          </w:p>
        </w:tc>
        <w:tc>
          <w:tcPr>
            <w:tcW w:type="dxa" w:w="3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5.47 × at 200 m</w:t>
            </w:r>
          </w:p>
        </w:tc>
      </w:tr>
    </w:tbl>
    <w:p>
      <w:pPr>
        <w:spacing w:after="120"/>
      </w:pPr>
    </w:p>
    <w:p>
      <w:pPr>
        <w:spacing w:after="120" w:line="276"/>
        <w:jc w:val="both"/>
      </w:pPr>
      <w:r>
        <w:rPr>
          <w:rFonts w:ascii="Calibri" w:cs="Calibri" w:eastAsia="Calibri" w:hAnsi="Calibri"/>
          <w:b/>
          <w:bCs/>
          <w:i w:val="false"/>
          <w:iCs w:val="false"/>
          <w:color w:val="000000"/>
          <w:sz w:val="21"/>
          <w:szCs w:val="21"/>
        </w:rPr>
        <w:t xml:space="preserve">In one line: it roughly DOUBLES detectability for small communities and changes almost nothing for large ones. </w:t>
      </w:r>
      <w:r>
        <w:rPr>
          <w:rFonts w:ascii="Calibri" w:cs="Calibri" w:eastAsia="Calibri" w:hAnsi="Calibri"/>
          <w:b w:val="false"/>
          <w:bCs w:val="false"/>
          <w:i w:val="false"/>
          <w:iCs w:val="false"/>
          <w:color w:val="000000"/>
          <w:sz w:val="21"/>
          <w:szCs w:val="21"/>
        </w:rPr>
        <w:t xml:space="preserve">It repairs the group the plan previously admitted was underpowered, and it leaves the rest of the sample where it was.</w:t>
      </w:r>
    </w:p>
    <w:p>
      <w:pPr>
        <w:pStyle w:val="Heading3"/>
        <w:spacing w:after="110" w:before="220"/>
      </w:pPr>
      <w:r>
        <w:rPr>
          <w:rFonts w:ascii="Calibri" w:cs="Calibri" w:eastAsia="Calibri" w:hAnsi="Calibri"/>
          <w:b/>
          <w:bCs/>
          <w:color w:val="2E5496"/>
          <w:sz w:val="22"/>
          <w:szCs w:val="22"/>
        </w:rPr>
        <w:t xml:space="preserve">Change B — a new analysis, A9, the size gradient</w:t>
      </w:r>
    </w:p>
    <w:p>
      <w:pPr>
        <w:spacing w:after="120" w:line="276"/>
        <w:jc w:val="both"/>
      </w:pPr>
      <w:r>
        <w:rPr>
          <w:rFonts w:ascii="Calibri" w:cs="Calibri" w:eastAsia="Calibri" w:hAnsi="Calibri"/>
          <w:b w:val="false"/>
          <w:bCs w:val="false"/>
          <w:i w:val="false"/>
          <w:iCs w:val="false"/>
          <w:color w:val="000000"/>
          <w:sz w:val="21"/>
          <w:szCs w:val="21"/>
        </w:rPr>
        <w:t xml:space="preserve">Once communities are grouped by size, an obvious question follows: does size itself change how well a community holds its land? A9 answers it, and it has a property that makes it a real test rather than a fishing expedition — a QUANTITATIVE NULL.</w:t>
      </w:r>
    </w:p>
    <w:p>
      <w:pPr>
        <w:spacing w:after="120" w:line="276"/>
        <w:jc w:val="both"/>
      </w:pPr>
      <w:r>
        <w:rPr>
          <w:rFonts w:ascii="Calibri" w:cs="Calibri" w:eastAsia="Calibri" w:hAnsi="Calibri"/>
          <w:b w:val="false"/>
          <w:bCs w:val="false"/>
          <w:i w:val="false"/>
          <w:iCs w:val="false"/>
          <w:color w:val="000000"/>
          <w:sz w:val="21"/>
          <w:szCs w:val="21"/>
        </w:rPr>
        <w:t xml:space="preserve">Even with no difference in management quality, a small community MUST show a smaller measured effect at a common zone, simply because its work covers less of the ground being measured. That dilution is exactly predictable. A9 therefore asks whether the observed size relationship is steeper, flatter, or exactly equal to what dilution alone predicts. Full specification in §8.11.</w:t>
      </w:r>
    </w:p>
    <w:p>
      <w:pPr>
        <w:pStyle w:val="Heading3"/>
        <w:spacing w:after="110" w:before="220"/>
      </w:pPr>
      <w:r>
        <w:rPr>
          <w:rFonts w:ascii="Calibri" w:cs="Calibri" w:eastAsia="Calibri" w:hAnsi="Calibri"/>
          <w:b/>
          <w:bCs/>
          <w:color w:val="2E5496"/>
          <w:sz w:val="22"/>
          <w:szCs w:val="22"/>
        </w:rPr>
        <w:t xml:space="preserve">Change C — how a community’s size class is actually determined</w:t>
      </w:r>
    </w:p>
    <w:p>
      <w:pPr>
        <w:spacing w:after="120" w:line="276"/>
        <w:jc w:val="both"/>
      </w:pPr>
      <w:r>
        <w:rPr>
          <w:rFonts w:ascii="Calibri" w:cs="Calibri" w:eastAsia="Calibri" w:hAnsi="Calibri"/>
          <w:b w:val="false"/>
          <w:bCs w:val="false"/>
          <w:i w:val="false"/>
          <w:iCs w:val="false"/>
          <w:color w:val="000000"/>
          <w:sz w:val="21"/>
          <w:szCs w:val="21"/>
        </w:rPr>
        <w:t xml:space="preserve">Change A sets the measurement radius from how much land a community works. That immediately raises a question the plan did not previously answer: where does that number come from? Three routes were possible, and only two are admissible.</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000"/>
        <w:gridCol w:w="1500"/>
        <w:gridCol w:w="5520"/>
      </w:tblGrid>
      <w:tr>
        <w:trPr>
          <w:tblHeader/>
        </w:trPr>
        <w:tc>
          <w:tcPr>
            <w:tcW w:type="dxa" w:w="20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Route</w:t>
            </w:r>
          </w:p>
        </w:tc>
        <w:tc>
          <w:tcPr>
            <w:tcW w:type="dxa" w:w="15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Verdict</w:t>
            </w:r>
          </w:p>
        </w:tc>
        <w:tc>
          <w:tcPr>
            <w:tcW w:type="dxa" w:w="55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Reasoning</w:t>
            </w:r>
          </w:p>
        </w:tc>
      </w:tr>
      <w:tr>
        <w:tc>
          <w:tcPr>
            <w:tcW w:type="dxa" w:w="20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From Earth Engine — infer the managed extent from land cover</w:t>
            </w:r>
          </w:p>
        </w:tc>
        <w:tc>
          <w:tcPr>
            <w:tcW w:type="dxa" w:w="15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REJECTED</w:t>
            </w:r>
          </w:p>
        </w:tc>
        <w:tc>
          <w:tcPr>
            <w:tcW w:type="dxa" w:w="55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CIRCULAR. The measurement zone would be set by the very signal the study measures inside it: a greener community would be classed as larger, receive a larger zone, and so on. It would also break blindness, because it requires looking at satellite-derived quantities before coding. This route is excluded outright, and the reason is stated in the methods rather than left implicit.</w:t>
            </w:r>
          </w:p>
        </w:tc>
      </w:tr>
      <w:tr>
        <w:tc>
          <w:tcPr>
            <w:tcW w:type="dxa" w:w="20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DOCUMENTARY — the area the community states in published sources</w:t>
            </w:r>
          </w:p>
        </w:tc>
        <w:tc>
          <w:tcPr>
            <w:tcW w:type="dxa" w:w="15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ADMITTED, as corroboration</w:t>
            </w:r>
          </w:p>
        </w:tc>
        <w:tc>
          <w:tcPr>
            <w:tcW w:type="dxa" w:w="55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Blind by construction and completely independent of the analyst. But available for only part of the sample, and communities constantly report the TOTAL HOLDING when asked what they manage.</w:t>
            </w:r>
          </w:p>
        </w:tc>
      </w:tr>
      <w:tr>
        <w:tc>
          <w:tcPr>
            <w:tcW w:type="dxa" w:w="20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VISUAL — the extent traced on high-resolution imagery</w:t>
            </w:r>
          </w:p>
        </w:tc>
        <w:tc>
          <w:tcPr>
            <w:tcW w:type="dxa" w:w="15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ADMITTED, as the primary measurement</w:t>
            </w:r>
          </w:p>
        </w:tc>
        <w:tc>
          <w:tcPr>
            <w:tcW w:type="dxa" w:w="55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Available for EVERY site, and it measures the physical thing the zone actually needs: where the managed ground ends. Carries an analyst-judgement risk, controlled by the rules in Stage 1.</w:t>
            </w:r>
          </w:p>
        </w:tc>
      </w:tr>
    </w:tbl>
    <w:p>
      <w:pPr>
        <w:spacing w:after="120"/>
      </w:pPr>
    </w:p>
    <w:p>
      <w:pPr>
        <w:spacing w:after="120" w:line="276"/>
        <w:jc w:val="both"/>
      </w:pPr>
      <w:r>
        <w:rPr>
          <w:rFonts w:ascii="Calibri" w:cs="Calibri" w:eastAsia="Calibri" w:hAnsi="Calibri"/>
          <w:b/>
          <w:bCs/>
          <w:i w:val="false"/>
          <w:iCs w:val="false"/>
          <w:color w:val="000000"/>
          <w:sz w:val="21"/>
          <w:szCs w:val="21"/>
        </w:rPr>
        <w:t xml:space="preserve">The decision, and why the visual route leads rather than follows. </w:t>
      </w:r>
      <w:r>
        <w:rPr>
          <w:rFonts w:ascii="Calibri" w:cs="Calibri" w:eastAsia="Calibri" w:hAnsi="Calibri"/>
          <w:b w:val="false"/>
          <w:bCs w:val="false"/>
          <w:i w:val="false"/>
          <w:iCs w:val="false"/>
          <w:color w:val="000000"/>
          <w:sz w:val="21"/>
          <w:szCs w:val="21"/>
        </w:rPr>
        <w:t xml:space="preserve">The obvious arrangement is documentary first, visual only to fill gaps. This plan does the opposite, for one reason: UNIFORM BASIS. A variable measured one way for half the sample and another way for the other half is heterogeneous in a way you cannot characterise afterwards — and this particular variable sets the measurement geometry for every site. The visual route reaches every community, so it is the primary. The documentary route then corroborates it, and the AGREEMENT BETWEEN THE TWO becomes a reported result in its own right (table T8b).</w:t>
      </w:r>
    </w:p>
    <w:p>
      <w:pPr>
        <w:spacing w:after="120"/>
      </w:pPr>
    </w:p>
    <w:p>
      <w:pPr>
        <w:spacing w:after="120" w:line="276"/>
        <w:jc w:val="both"/>
      </w:pPr>
      <w:r>
        <w:rPr>
          <w:rFonts w:ascii="Calibri" w:cs="Calibri" w:eastAsia="Calibri" w:hAnsi="Calibri"/>
          <w:b w:val="false"/>
          <w:bCs w:val="false"/>
          <w:i w:val="false"/>
          <w:iCs w:val="false"/>
          <w:color w:val="000000"/>
          <w:sz w:val="21"/>
          <w:szCs w:val="21"/>
        </w:rPr>
        <w:t xml:space="preserve">Both routes produce a number in hectares. The class then follows a fixed resolution rule, and every site carries a confidence tier recording how it was reached.</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1300"/>
        <w:gridCol w:w="3600"/>
        <w:gridCol w:w="4120"/>
      </w:tblGrid>
      <w:tr>
        <w:trPr>
          <w:tblHeader/>
        </w:trPr>
        <w:tc>
          <w:tcPr>
            <w:tcW w:type="dxa" w:w="13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Tier</w:t>
            </w:r>
          </w:p>
        </w:tc>
        <w:tc>
          <w:tcPr>
            <w:tcW w:type="dxa" w:w="36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Condition</w:t>
            </w:r>
          </w:p>
        </w:tc>
        <w:tc>
          <w:tcPr>
            <w:tcW w:type="dxa" w:w="41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What happens</w:t>
            </w:r>
          </w:p>
        </w:tc>
      </w:tr>
      <w:tr>
        <w:tc>
          <w:tcPr>
            <w:tcW w:type="dxa" w:w="13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w:t>
            </w:r>
          </w:p>
        </w:tc>
        <w:tc>
          <w:tcPr>
            <w:tcW w:type="dxa" w:w="3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Both routes available and they agree on the class</w:t>
            </w:r>
          </w:p>
        </w:tc>
        <w:tc>
          <w:tcPr>
            <w:tcW w:type="dxa" w:w="41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Class assigned. The strongest case, and the one restricted to in sensitivity check SC16.</w:t>
            </w:r>
          </w:p>
        </w:tc>
      </w:tr>
      <w:tr>
        <w:tc>
          <w:tcPr>
            <w:tcW w:type="dxa" w:w="13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w:t>
            </w:r>
          </w:p>
        </w:tc>
        <w:tc>
          <w:tcPr>
            <w:tcW w:type="dxa" w:w="3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Only one route available, OR the two disagree by exactly one class</w:t>
            </w:r>
          </w:p>
        </w:tc>
        <w:tc>
          <w:tcPr>
            <w:tcW w:type="dxa" w:w="41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Class assigned from the VISUAL measurement, and flagged.</w:t>
            </w:r>
          </w:p>
        </w:tc>
      </w:tr>
      <w:tr>
        <w:tc>
          <w:tcPr>
            <w:tcW w:type="dxa" w:w="13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w:t>
            </w:r>
          </w:p>
        </w:tc>
        <w:tc>
          <w:tcPr>
            <w:tcW w:type="dxa" w:w="3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two disagree by more than one class and cannot be reconciled, OR neither route is usable</w:t>
            </w:r>
          </w:p>
        </w:tc>
        <w:tc>
          <w:tcPr>
            <w:tcW w:type="dxa" w:w="41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UNKNOWN class, 150 m default, flagged and excluded in SC16.</w:t>
            </w:r>
          </w:p>
        </w:tc>
      </w:tr>
    </w:tbl>
    <w:p>
      <w:pPr>
        <w:spacing w:after="120"/>
      </w:pPr>
    </w:p>
    <w:p>
      <w:pPr>
        <w:spacing w:after="120" w:line="276"/>
        <w:jc w:val="both"/>
      </w:pPr>
      <w:r>
        <w:rPr>
          <w:rFonts w:ascii="Calibri" w:cs="Calibri" w:eastAsia="Calibri" w:hAnsi="Calibri"/>
          <w:b/>
          <w:bCs/>
          <w:i w:val="false"/>
          <w:iCs w:val="false"/>
          <w:color w:val="000000"/>
          <w:sz w:val="21"/>
          <w:szCs w:val="21"/>
        </w:rPr>
        <w:t xml:space="preserve">Why a misclassification here is less damaging than it first appears. </w:t>
      </w:r>
      <w:r>
        <w:rPr>
          <w:rFonts w:ascii="Calibri" w:cs="Calibri" w:eastAsia="Calibri" w:hAnsi="Calibri"/>
          <w:b w:val="false"/>
          <w:bCs w:val="false"/>
          <w:i w:val="false"/>
          <w:iCs w:val="false"/>
          <w:color w:val="000000"/>
          <w:sz w:val="21"/>
          <w:szCs w:val="21"/>
        </w:rPr>
        <w:t xml:space="preserve">A settlement and its three controls always share a radius, so a wrong class makes the measurement less well matched to that community but never favours one arm over the other. And the two directions of error behave differently: a small community wrongly placed in a large class has its intervention diluted, which ATTENUATES its measured effect — a conservative error. A large community wrongly placed in a small class is measured entirely inside its own managed land, which is noisier but unbiased. Neither direction inflates a result.</w:t>
      </w:r>
    </w:p>
    <w:p>
      <w:pPr>
        <w:spacing w:after="140"/>
      </w:pPr>
    </w:p>
    <w:p>
      <w:pPr>
        <w:pStyle w:val="Heading3"/>
        <w:spacing w:after="110" w:before="220"/>
      </w:pPr>
      <w:r>
        <w:rPr>
          <w:rFonts w:ascii="Calibri" w:cs="Calibri" w:eastAsia="Calibri" w:hAnsi="Calibri"/>
          <w:b/>
          <w:bCs/>
          <w:color w:val="2E5496"/>
          <w:sz w:val="22"/>
          <w:szCs w:val="22"/>
        </w:rPr>
        <w:t xml:space="preserve">Change D — the measurement area is now a hand-drawn polygon, not a circle</w:t>
      </w:r>
    </w:p>
    <w:p>
      <w:pPr>
        <w:spacing w:after="120" w:line="276"/>
        <w:jc w:val="both"/>
      </w:pPr>
      <w:r>
        <w:rPr>
          <w:rFonts w:ascii="Calibri" w:cs="Calibri" w:eastAsia="Calibri" w:hAnsi="Calibri"/>
          <w:b w:val="false"/>
          <w:bCs w:val="false"/>
          <w:i w:val="false"/>
          <w:iCs w:val="false"/>
          <w:color w:val="000000"/>
          <w:sz w:val="21"/>
          <w:szCs w:val="21"/>
        </w:rPr>
        <w:t xml:space="preserve">Changes A to C sized the measurement circle to each community. A circle is still the wrong shape. Real holdings are valley strips, hillside terraces, L-shapes around a road — and a circle drawn over them captures far less than the area arithmetic suggests.</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3000"/>
        <w:gridCol w:w="2000"/>
        <w:gridCol w:w="4020"/>
      </w:tblGrid>
      <w:tr>
        <w:trPr>
          <w:tblHeader/>
        </w:trPr>
        <w:tc>
          <w:tcPr>
            <w:tcW w:type="dxa" w:w="30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Shape of 7 hectares of managed land</w:t>
            </w:r>
          </w:p>
        </w:tc>
        <w:tc>
          <w:tcPr>
            <w:tcW w:type="dxa" w:w="20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Area says</w:t>
            </w:r>
          </w:p>
        </w:tc>
        <w:tc>
          <w:tcPr>
            <w:tcW w:type="dxa" w:w="40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A 150 m circle really captures</w:t>
            </w:r>
          </w:p>
        </w:tc>
      </w:tr>
      <w:tr>
        <w:tc>
          <w:tcPr>
            <w:tcW w:type="dxa" w:w="30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compact block near the centre</w:t>
            </w:r>
          </w:p>
        </w:tc>
        <w:tc>
          <w:tcPr>
            <w:tcW w:type="dxa" w:w="20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fully covered</w:t>
            </w:r>
          </w:p>
        </w:tc>
        <w:tc>
          <w:tcPr>
            <w:tcW w:type="dxa" w:w="40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95%</w:t>
            </w:r>
          </w:p>
        </w:tc>
      </w:tr>
      <w:tr>
        <w:tc>
          <w:tcPr>
            <w:tcW w:type="dxa" w:w="30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rectangle, 350 × 200 m</w:t>
            </w:r>
          </w:p>
        </w:tc>
        <w:tc>
          <w:tcPr>
            <w:tcW w:type="dxa" w:w="20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fully covered</w:t>
            </w:r>
          </w:p>
        </w:tc>
        <w:tc>
          <w:tcPr>
            <w:tcW w:type="dxa" w:w="40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78%</w:t>
            </w:r>
          </w:p>
        </w:tc>
      </w:tr>
      <w:tr>
        <w:tc>
          <w:tcPr>
            <w:tcW w:type="dxa" w:w="30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Two parcels either side of a road</w:t>
            </w:r>
          </w:p>
        </w:tc>
        <w:tc>
          <w:tcPr>
            <w:tcW w:type="dxa" w:w="20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fully covered</w:t>
            </w:r>
          </w:p>
        </w:tc>
        <w:tc>
          <w:tcPr>
            <w:tcW w:type="dxa" w:w="40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65%</w:t>
            </w:r>
          </w:p>
        </w:tc>
      </w:tr>
      <w:tr>
        <w:tc>
          <w:tcPr>
            <w:tcW w:type="dxa" w:w="30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valley strip, 700 × 100 m</w:t>
            </w:r>
          </w:p>
        </w:tc>
        <w:tc>
          <w:tcPr>
            <w:tcW w:type="dxa" w:w="20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fully covered</w:t>
            </w:r>
          </w:p>
        </w:tc>
        <w:tc>
          <w:tcPr>
            <w:tcW w:type="dxa" w:w="40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42%</w:t>
            </w:r>
          </w:p>
        </w:tc>
      </w:tr>
      <w:tr>
        <w:tc>
          <w:tcPr>
            <w:tcW w:type="dxa" w:w="30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Terraces along a slope, 900 × 80 m</w:t>
            </w:r>
          </w:p>
        </w:tc>
        <w:tc>
          <w:tcPr>
            <w:tcW w:type="dxa" w:w="20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fully covered</w:t>
            </w:r>
          </w:p>
        </w:tc>
        <w:tc>
          <w:tcPr>
            <w:tcW w:type="dxa" w:w="40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38%</w:t>
            </w:r>
          </w:p>
        </w:tc>
      </w:tr>
    </w:tbl>
    <w:p>
      <w:pPr>
        <w:spacing w:after="120"/>
      </w:pPr>
    </w:p>
    <w:p>
      <w:pPr>
        <w:spacing w:after="120" w:line="276"/>
        <w:jc w:val="both"/>
      </w:pPr>
      <w:r>
        <w:rPr>
          <w:rFonts w:ascii="Calibri" w:cs="Calibri" w:eastAsia="Calibri" w:hAnsi="Calibri"/>
          <w:b/>
          <w:bCs/>
          <w:i w:val="false"/>
          <w:iCs w:val="false"/>
          <w:color w:val="000000"/>
          <w:sz w:val="21"/>
          <w:szCs w:val="21"/>
        </w:rPr>
        <w:t xml:space="preserve">A drawn polygon takes every one of these to 100 per cent. </w:t>
      </w:r>
      <w:r>
        <w:rPr>
          <w:rFonts w:ascii="Calibri" w:cs="Calibri" w:eastAsia="Calibri" w:hAnsi="Calibri"/>
          <w:b w:val="false"/>
          <w:bCs w:val="false"/>
          <w:i w:val="false"/>
          <w:iCs w:val="false"/>
          <w:color w:val="000000"/>
          <w:sz w:val="21"/>
          <w:szCs w:val="21"/>
        </w:rPr>
        <w:t xml:space="preserve">That is the whole argument. At a valley-strip site the circle was discarding well over half the signal — and valley strips and terraces are exactly what permaculture design produces, because it follows the terrain.</w:t>
      </w:r>
    </w:p>
    <w:p>
      <w:pPr>
        <w:spacing w:after="120"/>
      </w:pPr>
    </w:p>
    <w:p>
      <w:pPr>
        <w:spacing w:after="120" w:line="276"/>
        <w:jc w:val="both"/>
      </w:pPr>
      <w:r>
        <w:rPr>
          <w:rFonts w:ascii="Calibri" w:cs="Calibri" w:eastAsia="Calibri" w:hAnsi="Calibri"/>
          <w:b w:val="false"/>
          <w:bCs w:val="false"/>
          <w:i w:val="false"/>
          <w:iCs w:val="false"/>
          <w:color w:val="000000"/>
          <w:sz w:val="21"/>
          <w:szCs w:val="21"/>
        </w:rPr>
        <w:t xml:space="preserve">The polygon is drawn by hand on high-resolution imagery, for EVERY settlement — all 212, and every cohort settlement. Boundary accuracy is typically 90 to 95 per cent, and 75 per cent at worst. Even at its worst, a polygon beats a circle over any holding that is not a compact block.</w:t>
      </w:r>
    </w:p>
    <w:p>
      <w:pPr>
        <w:spacing w:after="120" w:line="276"/>
        <w:jc w:val="both"/>
      </w:pPr>
      <w:r>
        <w:rPr>
          <w:rFonts w:ascii="Calibri" w:cs="Calibri" w:eastAsia="Calibri" w:hAnsi="Calibri"/>
          <w:b/>
          <w:bCs/>
          <w:i w:val="false"/>
          <w:iCs w:val="false"/>
          <w:color w:val="000000"/>
          <w:sz w:val="21"/>
          <w:szCs w:val="21"/>
        </w:rPr>
        <w:t xml:space="preserve">Does it add noise? Usually the opposite. </w:t>
      </w:r>
      <w:r>
        <w:rPr>
          <w:rFonts w:ascii="Calibri" w:cs="Calibri" w:eastAsia="Calibri" w:hAnsi="Calibri"/>
          <w:b w:val="false"/>
          <w:bCs w:val="false"/>
          <w:i w:val="false"/>
          <w:iCs w:val="false"/>
          <w:color w:val="000000"/>
          <w:sz w:val="21"/>
          <w:szCs w:val="21"/>
        </w:rPr>
        <w:t xml:space="preserve">Noise depends on how much ground is averaged, not on its shape, so a polygon of the same area is no noisier than a circle. And it removes something the circle carried: a variable amount of land the community does not manage, differing from site to site. That variability was pure noise, and it is gone.</w:t>
      </w:r>
    </w:p>
    <w:p>
      <w:pPr>
        <w:spacing w:after="120"/>
      </w:pPr>
    </w:p>
    <w:p>
      <w:pPr>
        <w:pStyle w:val="Heading3"/>
        <w:spacing w:after="110" w:before="220"/>
      </w:pPr>
      <w:r>
        <w:rPr>
          <w:rFonts w:ascii="Calibri" w:cs="Calibri" w:eastAsia="Calibri" w:hAnsi="Calibri"/>
          <w:b/>
          <w:bCs/>
          <w:color w:val="2E5496"/>
          <w:sz w:val="22"/>
          <w:szCs w:val="22"/>
        </w:rPr>
        <w:t xml:space="preserve">The one rule that makes polygons safe</w:t>
      </w:r>
    </w:p>
    <w:tbl>
      <w:tblPr>
        <w:tblW w:type="dxa" w:w="9020"/>
        <w:tblBorders>
          <w:top w:val="none" w:color="FFFFFF" w:sz="0"/>
          <w:left w:val="single" w:color="C0504D" w:sz="18"/>
          <w:bottom w:val="none" w:color="FFFFFF" w:sz="0"/>
          <w:right w:val="none" w:color="FFFFFF" w:sz="0"/>
          <w:insideH w:val="none" w:color="FFFFFF" w:sz="0"/>
          <w:insideV w:val="none" w:color="FFFFFF" w:sz="0"/>
        </w:tblBorders>
      </w:tblPr>
      <w:tblGrid>
        <w:gridCol w:w="9020"/>
      </w:tblGrid>
      <w:tr>
        <w:tc>
          <w:tcPr>
            <w:tcW w:type="dxa" w:w="9020"/>
            <w:shd w:fill="FDECEC" w:color="auto" w:val="clear"/>
            <w:tcMar>
              <w:top w:type="dxa" w:w="150"/>
              <w:left w:type="dxa" w:w="180"/>
              <w:bottom w:type="dxa" w:w="150"/>
              <w:right w:type="dxa" w:w="180"/>
            </w:tcMar>
          </w:tcPr>
          <w:p>
            <w:pPr>
              <w:spacing w:after="90"/>
            </w:pPr>
            <w:r>
              <w:rPr>
                <w:rFonts w:ascii="Calibri" w:cs="Calibri" w:eastAsia="Calibri" w:hAnsi="Calibri"/>
                <w:b/>
                <w:bCs/>
                <w:color w:val="C0504D"/>
                <w:sz w:val="21"/>
                <w:szCs w:val="21"/>
              </w:rPr>
              <w:t xml:space="preserve">Controls get the settlement’s polygon, moved onto them</w:t>
            </w:r>
          </w:p>
          <w:p>
            <w:pPr>
              <w:spacing w:after="90" w:line="276"/>
              <w:jc w:val="both"/>
            </w:pPr>
            <w:r>
              <w:rPr>
                <w:rFonts w:ascii="Calibri" w:cs="Calibri" w:eastAsia="Calibri" w:hAnsi="Calibri"/>
                <w:sz w:val="20"/>
                <w:szCs w:val="20"/>
              </w:rPr>
              <w:t xml:space="preserve">If a settlement is measured over its exact managed land and its controls over plain circles, you are comparing CAREFULLY CHOSEN LAND against WHATEVER HAPPENS TO BE THERE. That difference alone would produce a result.</w:t>
            </w:r>
          </w:p>
          <w:p>
            <w:pPr>
              <w:spacing w:after="90" w:line="276"/>
              <w:jc w:val="both"/>
            </w:pPr>
            <w:r>
              <w:rPr>
                <w:rFonts w:ascii="Calibri" w:cs="Calibri" w:eastAsia="Calibri" w:hAnsi="Calibri"/>
                <w:sz w:val="20"/>
                <w:szCs w:val="20"/>
              </w:rPr>
              <w:t xml:space="preserve">So the settlement’s polygon is TRANSLATED onto each of its three controls: slide the same shape until its centre sits on the control village. Do not resize it, do not reshape it, do not rotate it. You draw once and use it four times.</w:t>
            </w:r>
          </w:p>
          <w:p>
            <w:pPr>
              <w:spacing w:after="90" w:line="276"/>
              <w:jc w:val="both"/>
            </w:pPr>
            <w:r>
              <w:rPr>
                <w:rFonts w:ascii="Calibri" w:cs="Calibri" w:eastAsia="Calibri" w:hAnsi="Calibri"/>
                <w:sz w:val="20"/>
                <w:szCs w:val="20"/>
              </w:rPr>
              <w:t xml:space="preserve">No rotation, deliberately. Turning each polygon to follow its control’s terrain would mean a judgement call at all 636 controls, which puts back exactly the bias the structural-drawing rule removes. Without rotation any mismatch is random and averages out.</w:t>
            </w:r>
          </w:p>
        </w:tc>
      </w:tr>
    </w:tbl>
    <w:p>
      <w:pPr>
        <w:spacing w:after="140"/>
      </w:pPr>
    </w:p>
    <w:p>
      <w:pPr>
        <w:pStyle w:val="Heading3"/>
        <w:spacing w:after="110" w:before="220"/>
      </w:pPr>
      <w:r>
        <w:rPr>
          <w:rFonts w:ascii="Calibri" w:cs="Calibri" w:eastAsia="Calibri" w:hAnsi="Calibri"/>
          <w:b/>
          <w:bCs/>
          <w:color w:val="2E5496"/>
          <w:sz w:val="22"/>
          <w:szCs w:val="22"/>
        </w:rPr>
        <w:t xml:space="preserve">Why reference sites stay as circles</w:t>
      </w:r>
    </w:p>
    <w:p>
      <w:pPr>
        <w:spacing w:after="120" w:line="276"/>
        <w:jc w:val="both"/>
      </w:pPr>
      <w:r>
        <w:rPr>
          <w:rFonts w:ascii="Calibri" w:cs="Calibri" w:eastAsia="Calibri" w:hAnsi="Calibri"/>
          <w:b w:val="false"/>
          <w:bCs w:val="false"/>
          <w:i w:val="false"/>
          <w:iCs w:val="false"/>
          <w:color w:val="000000"/>
          <w:sz w:val="21"/>
          <w:szCs w:val="21"/>
        </w:rPr>
        <w:t xml:space="preserve">Controls and reference sites do different jobs, and that is why their geometry rules differ.</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200"/>
        <w:gridCol w:w="6820"/>
      </w:tblGrid>
      <w:tr>
        <w:trPr>
          <w:tblHeader/>
        </w:trPr>
        <w:tc>
          <w:tcPr>
            <w:tcW w:type="dxa" w:w="22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c>
          <w:tcPr>
            <w:tcW w:type="dxa" w:w="68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r>
      <w:tr>
        <w:tc>
          <w:tcPr>
            <w:tcW w:type="dxa" w:w="22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A CONTROL is a comparison partner</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You subtract it from its settlement, so it must be measured over the same SIZE AND SHAPE of land. Otherwise part of the difference is just geometry. Hence the translated polygon.</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A REFERENCE SITE is a ruler</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It is never subtracted from anything — it only sets the 0-to-1 scale. What matters for a ruler is HOW MUCH GROUND IT AVERAGES, because that fixes the spread of the distribution. Shape barely affects the spread. Hence a circle, matched on AREA alone.</w:t>
            </w:r>
          </w:p>
        </w:tc>
      </w:tr>
    </w:tbl>
    <w:p>
      <w:pPr>
        <w:spacing w:after="120"/>
      </w:pPr>
    </w:p>
    <w:p>
      <w:pPr>
        <w:spacing w:after="120" w:line="276"/>
        <w:jc w:val="both"/>
      </w:pPr>
      <w:r>
        <w:rPr>
          <w:rFonts w:ascii="Calibri" w:cs="Calibri" w:eastAsia="Calibri" w:hAnsi="Calibri"/>
          <w:b w:val="false"/>
          <w:bCs w:val="false"/>
          <w:i w:val="false"/>
          <w:iCs w:val="false"/>
          <w:color w:val="000000"/>
          <w:sz w:val="21"/>
          <w:szCs w:val="21"/>
        </w:rPr>
        <w:t xml:space="preserve">Because polygon areas spread more widely than three circle sizes can cover, the reference pools are now extracted at FIVE radii instead of three. Each site is matched to whichever is closest in area.</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1600"/>
        <w:gridCol w:w="2400"/>
        <w:gridCol w:w="3420"/>
      </w:tblGrid>
      <w:tr>
        <w:trPr>
          <w:tblHeader/>
        </w:trPr>
        <w:tc>
          <w:tcPr>
            <w:tcW w:type="dxa" w:w="16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Radius</w:t>
            </w:r>
          </w:p>
        </w:tc>
        <w:tc>
          <w:tcPr>
            <w:tcW w:type="dxa" w:w="16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Area</w:t>
            </w:r>
          </w:p>
        </w:tc>
        <w:tc>
          <w:tcPr>
            <w:tcW w:type="dxa" w:w="24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Matches polygons of about</w:t>
            </w:r>
          </w:p>
        </w:tc>
        <w:tc>
          <w:tcPr>
            <w:tcW w:type="dxa" w:w="34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Note</w:t>
            </w:r>
          </w:p>
        </w:tc>
      </w:tr>
      <w:tr>
        <w:tc>
          <w:tcPr>
            <w:tcW w:type="dxa" w:w="1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75 m</w:t>
            </w:r>
          </w:p>
        </w:tc>
        <w:tc>
          <w:tcPr>
            <w:tcW w:type="dxa" w:w="1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1.77 ha</w:t>
            </w:r>
          </w:p>
        </w:tc>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under 2.6 ha</w:t>
            </w:r>
          </w:p>
        </w:tc>
        <w:tc>
          <w:tcPr>
            <w:tcW w:type="dxa" w:w="3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Also the fallback for a polygon under the 1 ha minimum</w:t>
            </w:r>
          </w:p>
        </w:tc>
      </w:tr>
      <w:tr>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110 m</w:t>
            </w:r>
          </w:p>
        </w:tc>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3.80 ha</w:t>
            </w:r>
          </w:p>
        </w:tc>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2.6 to 5.2 ha</w:t>
            </w:r>
          </w:p>
        </w:tc>
        <w:tc>
          <w:tcPr>
            <w:tcW w:type="dxa" w:w="3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
            </w:r>
          </w:p>
        </w:tc>
      </w:tr>
      <w:tr>
        <w:tc>
          <w:tcPr>
            <w:tcW w:type="dxa" w:w="1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150 m</w:t>
            </w:r>
          </w:p>
        </w:tc>
        <w:tc>
          <w:tcPr>
            <w:tcW w:type="dxa" w:w="1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7.07 ha</w:t>
            </w:r>
          </w:p>
        </w:tc>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5.2 to 9.9 ha</w:t>
            </w:r>
          </w:p>
        </w:tc>
        <w:tc>
          <w:tcPr>
            <w:tcW w:type="dxa" w:w="3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Also the common zone used by A9 and SC1</w:t>
            </w:r>
          </w:p>
        </w:tc>
      </w:tr>
      <w:tr>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210 m</w:t>
            </w:r>
          </w:p>
        </w:tc>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13.85 ha</w:t>
            </w:r>
          </w:p>
        </w:tc>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9.9 to 19.8 ha</w:t>
            </w:r>
          </w:p>
        </w:tc>
        <w:tc>
          <w:tcPr>
            <w:tcW w:type="dxa" w:w="3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
            </w:r>
          </w:p>
        </w:tc>
      </w:tr>
      <w:tr>
        <w:tc>
          <w:tcPr>
            <w:tcW w:type="dxa" w:w="1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300 m</w:t>
            </w:r>
          </w:p>
        </w:tc>
        <w:tc>
          <w:tcPr>
            <w:tcW w:type="dxa" w:w="1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28.27 ha</w:t>
            </w:r>
          </w:p>
        </w:tc>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over 19.8 ha</w:t>
            </w:r>
          </w:p>
        </w:tc>
        <w:tc>
          <w:tcPr>
            <w:tcW w:type="dxa" w:w="3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Covers polygons up to about 40 ha</w:t>
            </w:r>
          </w:p>
        </w:tc>
      </w:tr>
    </w:tbl>
    <w:p>
      <w:pPr>
        <w:spacing w:after="120"/>
      </w:pPr>
    </w:p>
    <w:p>
      <w:pPr>
        <w:spacing w:after="120" w:line="276"/>
        <w:jc w:val="both"/>
      </w:pPr>
      <w:r>
        <w:rPr>
          <w:rFonts w:ascii="Calibri" w:cs="Calibri" w:eastAsia="Calibri" w:hAnsi="Calibri"/>
          <w:b w:val="false"/>
          <w:bCs w:val="false"/>
          <w:i w:val="false"/>
          <w:iCs w:val="false"/>
          <w:color w:val="000000"/>
          <w:sz w:val="21"/>
          <w:szCs w:val="21"/>
        </w:rPr>
        <w:t xml:space="preserve">Each step is about twice the one before, so whichever you pick is never more than 1.47 times off in area — a shift of roughly 3 per cent in rescaled scores. That is smaller than variation the design already accepts.</w:t>
      </w:r>
    </w:p>
    <w:p>
      <w:pPr>
        <w:spacing w:after="140"/>
      </w:pPr>
    </w:p>
    <w:p>
      <w:pPr>
        <w:pStyle w:val="Heading3"/>
        <w:spacing w:after="110" w:before="220"/>
      </w:pPr>
      <w:r>
        <w:rPr>
          <w:rFonts w:ascii="Calibri" w:cs="Calibri" w:eastAsia="Calibri" w:hAnsi="Calibri"/>
          <w:b/>
          <w:bCs/>
          <w:color w:val="2E5496"/>
          <w:sz w:val="22"/>
          <w:szCs w:val="22"/>
        </w:rPr>
        <w:t xml:space="preserve">Change E — the control-distance ladder</w:t>
      </w:r>
    </w:p>
    <w:p>
      <w:pPr>
        <w:spacing w:after="120" w:line="276"/>
        <w:jc w:val="both"/>
      </w:pPr>
      <w:r>
        <w:rPr>
          <w:rFonts w:ascii="Calibri" w:cs="Calibri" w:eastAsia="Calibri" w:hAnsi="Calibri"/>
          <w:b w:val="false"/>
          <w:bCs w:val="false"/>
          <w:i w:val="false"/>
          <w:iCs w:val="false"/>
          <w:color w:val="000000"/>
          <w:sz w:val="21"/>
          <w:szCs w:val="21"/>
        </w:rPr>
        <w:t xml:space="preserve">Controls had to sit between 5 and 50 kilometres from their settlement. For some communities — in sparsely settled country, or where the nearest comparable village is simply far away — three qualifying candidates may not exist inside that band.</w:t>
      </w:r>
    </w:p>
    <w:p>
      <w:pPr>
        <w:spacing w:after="120" w:line="276"/>
        <w:jc w:val="both"/>
      </w:pPr>
      <w:r>
        <w:rPr>
          <w:rFonts w:ascii="Calibri" w:cs="Calibri" w:eastAsia="Calibri" w:hAnsi="Calibri"/>
          <w:b/>
          <w:bCs/>
          <w:i w:val="false"/>
          <w:iCs w:val="false"/>
          <w:color w:val="000000"/>
          <w:sz w:val="21"/>
          <w:szCs w:val="21"/>
        </w:rPr>
        <w:t xml:space="preserve">Distance is a PROXY. Your matching already controls the real things directly. </w:t>
      </w:r>
      <w:r>
        <w:rPr>
          <w:rFonts w:ascii="Calibri" w:cs="Calibri" w:eastAsia="Calibri" w:hAnsi="Calibri"/>
          <w:b w:val="false"/>
          <w:bCs w:val="false"/>
          <w:i w:val="false"/>
          <w:iCs w:val="false"/>
          <w:color w:val="000000"/>
          <w:sz w:val="21"/>
          <w:szCs w:val="21"/>
        </w:rPr>
        <w:t xml:space="preserve">A nearer control is better because it shares more: climate, terrain, weather, policy, markets. But the design already matches on Köppen group, biome, elevation within 300 m, terrain class, distance to water, tree cover within 15 points, population within a factor of three, same country and rural classification. Doubling the search distance does not lose any of those. It loses only what is left over — mainly the particular weather of a given year, and sub-national policy.</w:t>
      </w:r>
    </w:p>
    <w:p>
      <w:pPr>
        <w:spacing w:after="120" w:line="276"/>
        <w:jc w:val="both"/>
      </w:pPr>
      <w:r>
        <w:rPr>
          <w:rFonts w:ascii="Calibri" w:cs="Calibri" w:eastAsia="Calibri" w:hAnsi="Calibri"/>
          <w:b w:val="false"/>
          <w:bCs w:val="false"/>
          <w:i w:val="false"/>
          <w:iCs w:val="false"/>
          <w:color w:val="000000"/>
          <w:sz w:val="21"/>
          <w:szCs w:val="21"/>
        </w:rPr>
        <w:t xml:space="preserve">So extending the search costs PRECISION, not validity. The quartet fixed effect removes whatever a settlement shares with its controls; share a little less and the residual is a little larger, but nothing becomes biased.</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2200"/>
        <w:gridCol w:w="4220"/>
      </w:tblGrid>
      <w:tr>
        <w:trPr>
          <w:tblHeader/>
        </w:trPr>
        <w:tc>
          <w:tcPr>
            <w:tcW w:type="dxa" w:w="26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Share of quartets using a far control</w:t>
            </w:r>
          </w:p>
        </w:tc>
        <w:tc>
          <w:tcPr>
            <w:tcW w:type="dxa" w:w="22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Study detectable difference</w:t>
            </w:r>
          </w:p>
        </w:tc>
        <w:tc>
          <w:tcPr>
            <w:tcW w:type="dxa" w:w="42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Change</w:t>
            </w:r>
          </w:p>
        </w:tc>
      </w:tr>
      <w:tr>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None</w:t>
            </w:r>
          </w:p>
        </w:tc>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0.222 SD</w:t>
            </w:r>
          </w:p>
        </w:tc>
        <w:tc>
          <w:tcPr>
            <w:tcW w:type="dxa" w:w="42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t>
            </w:r>
          </w:p>
        </w:tc>
      </w:tr>
      <w:tr>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10 per cent</w:t>
            </w:r>
          </w:p>
        </w:tc>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0.222 SD</w:t>
            </w:r>
          </w:p>
        </w:tc>
        <w:tc>
          <w:tcPr>
            <w:tcW w:type="dxa" w:w="42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+0.1%</w:t>
            </w:r>
          </w:p>
        </w:tc>
      </w:tr>
      <w:tr>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20 per cent</w:t>
            </w:r>
          </w:p>
        </w:tc>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0.223 SD</w:t>
            </w:r>
          </w:p>
        </w:tc>
        <w:tc>
          <w:tcPr>
            <w:tcW w:type="dxa" w:w="42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+0.3%</w:t>
            </w:r>
          </w:p>
        </w:tc>
      </w:tr>
    </w:tbl>
    <w:p>
      <w:pPr>
        <w:spacing w:after="120"/>
      </w:pPr>
    </w:p>
    <w:p>
      <w:pPr>
        <w:spacing w:after="120" w:line="276"/>
        <w:jc w:val="both"/>
      </w:pPr>
      <w:r>
        <w:rPr>
          <w:rFonts w:ascii="Calibri" w:cs="Calibri" w:eastAsia="Calibri" w:hAnsi="Calibri"/>
          <w:b w:val="false"/>
          <w:bCs w:val="false"/>
          <w:i w:val="false"/>
          <w:iCs w:val="false"/>
          <w:color w:val="000000"/>
          <w:sz w:val="21"/>
          <w:szCs w:val="21"/>
        </w:rPr>
        <w:t xml:space="preserve">One noisier control out of four barely moves the average of three. And it is better than the alternative of simply accepting two nearby controls instead of three: three controls with one far gives a variance of 1.37 σ², two near controls give 1.50 σ² — so extending the distance is about nine per cent better.</w:t>
      </w:r>
    </w:p>
    <w:tbl>
      <w:tblPr>
        <w:tblW w:type="dxa" w:w="9020"/>
        <w:tblBorders>
          <w:top w:val="none" w:color="FFFFFF" w:sz="0"/>
          <w:left w:val="single" w:color="C0504D" w:sz="18"/>
          <w:bottom w:val="none" w:color="FFFFFF" w:sz="0"/>
          <w:right w:val="none" w:color="FFFFFF" w:sz="0"/>
          <w:insideH w:val="none" w:color="FFFFFF" w:sz="0"/>
          <w:insideV w:val="none" w:color="FFFFFF" w:sz="0"/>
        </w:tblBorders>
      </w:tblPr>
      <w:tblGrid>
        <w:gridCol w:w="9020"/>
      </w:tblGrid>
      <w:tr>
        <w:tc>
          <w:tcPr>
            <w:tcW w:type="dxa" w:w="9020"/>
            <w:shd w:fill="FDECEC" w:color="auto" w:val="clear"/>
            <w:tcMar>
              <w:top w:type="dxa" w:w="150"/>
              <w:left w:type="dxa" w:w="180"/>
              <w:bottom w:type="dxa" w:w="150"/>
              <w:right w:type="dxa" w:w="180"/>
            </w:tcMar>
          </w:tcPr>
          <w:p>
            <w:pPr>
              <w:spacing w:after="90"/>
            </w:pPr>
            <w:r>
              <w:rPr>
                <w:rFonts w:ascii="Calibri" w:cs="Calibri" w:eastAsia="Calibri" w:hAnsi="Calibri"/>
                <w:b/>
                <w:bCs/>
                <w:color w:val="C0504D"/>
                <w:sz w:val="21"/>
                <w:szCs w:val="21"/>
              </w:rPr>
              <w:t xml:space="preserve">A hierarchy, never a widened band</w:t>
            </w:r>
          </w:p>
          <w:p>
            <w:pPr>
              <w:spacing w:after="90" w:line="276"/>
              <w:jc w:val="both"/>
            </w:pPr>
            <w:r>
              <w:rPr>
                <w:rFonts w:ascii="Calibri" w:cs="Calibri" w:eastAsia="Calibri" w:hAnsi="Calibri"/>
                <w:sz w:val="20"/>
                <w:szCs w:val="20"/>
              </w:rPr>
              <w:t xml:space="preserve">The rule is NOT "controls may be 5 to 100 km away". If it were, the matching algorithm would sometimes pick a far control over an available near one, and you would lose precision for nothing.</w:t>
            </w:r>
          </w:p>
          <w:p>
            <w:pPr>
              <w:spacing w:after="90" w:line="276"/>
              <w:jc w:val="both"/>
            </w:pPr>
            <w:r>
              <w:rPr>
                <w:rFonts w:ascii="Calibri" w:cs="Calibri" w:eastAsia="Calibri" w:hAnsi="Calibri"/>
                <w:sz w:val="20"/>
                <w:szCs w:val="20"/>
              </w:rPr>
              <w:t xml:space="preserve">The rule is: search 5 to 50 km FULLY first. Only when fewer than three qualifying candidates exist there does the search open to 50 to 100 km — and then it takes the CLOSEST qualifying candidates, not the best-scoring ones.</w:t>
            </w:r>
          </w:p>
          <w:p>
            <w:pPr>
              <w:spacing w:after="90" w:line="276"/>
              <w:jc w:val="both"/>
            </w:pPr>
            <w:r>
              <w:rPr>
                <w:rFonts w:ascii="Calibri" w:cs="Calibri" w:eastAsia="Calibri" w:hAnsi="Calibri"/>
                <w:sz w:val="20"/>
                <w:szCs w:val="20"/>
              </w:rPr>
              <w:t xml:space="preserve">And every other criterion stays exactly as strict. Distance is being relaxed PRECISELY BECAUSE the covariates do the real work. Relax both and the design is gone.</w:t>
            </w:r>
          </w:p>
        </w:tc>
      </w:tr>
    </w:tbl>
    <w:p>
      <w:pPr>
        <w:spacing w:after="140"/>
      </w:pPr>
    </w:p>
    <w:p>
      <w:pPr>
        <w:spacing w:after="120" w:line="276"/>
        <w:jc w:val="both"/>
      </w:pPr>
      <w:r>
        <w:rPr>
          <w:rFonts w:ascii="Calibri" w:cs="Calibri" w:eastAsia="Calibri" w:hAnsi="Calibri"/>
          <w:b w:val="false"/>
          <w:bCs w:val="false"/>
          <w:i w:val="false"/>
          <w:iCs w:val="false"/>
          <w:color w:val="000000"/>
          <w:sz w:val="21"/>
          <w:szCs w:val="21"/>
        </w:rPr>
        <w:t xml:space="preserve">The full ladder is in Stage 2. A quartet using any control beyond 50 km cannot be Tier 1, which means sensitivity check SC5 — already restricted to well-matched quartets — tests the consequence at no extra cost.</w:t>
      </w:r>
    </w:p>
    <w:p>
      <w:pPr>
        <w:spacing w:after="140"/>
      </w:pPr>
    </w:p>
    <w:p>
      <w:pPr>
        <w:pStyle w:val="Heading3"/>
        <w:spacing w:after="110" w:before="220"/>
      </w:pPr>
      <w:r>
        <w:rPr>
          <w:rFonts w:ascii="Calibri" w:cs="Calibri" w:eastAsia="Calibri" w:hAnsi="Calibri"/>
          <w:b/>
          <w:bCs/>
          <w:color w:val="2E5496"/>
          <w:sz w:val="22"/>
          <w:szCs w:val="22"/>
        </w:rPr>
        <w:t xml:space="preserve">What follows from these five changes</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6620"/>
      </w:tblGrid>
      <w:tr>
        <w:trPr>
          <w:tblHeader/>
        </w:trPr>
        <w:tc>
          <w:tcPr>
            <w:tcW w:type="dxa" w:w="24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Part of the plan</w:t>
            </w:r>
          </w:p>
        </w:tc>
        <w:tc>
          <w:tcPr>
            <w:tcW w:type="dxa" w:w="66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What changed</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Extraction geometry (§4.3)</w:t>
            </w:r>
          </w:p>
        </w:tc>
        <w:tc>
          <w:tcPr>
            <w:tcW w:type="dxa" w:w="6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Each site now carries its POLYGON, the five rings and a common 150 m circle. Reference sites are extracted at ALL FIVE radii, because a reference level computed at the wrong unit size biases every rescaled score.</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Row counts (§4.4, §5.7)</w:t>
            </w:r>
          </w:p>
        </w:tc>
        <w:tc>
          <w:tcPr>
            <w:tcW w:type="dxa" w:w="6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expected panel grows to 105,182 rows — polygon plus five rings plus the common circle at every study site, and five reference radii instead of three. The integrity check uses the new figure.</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Reference levels (§6.2)</w:t>
            </w:r>
          </w:p>
        </w:tc>
        <w:tc>
          <w:tcPr>
            <w:tcW w:type="dxa" w:w="6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Three sets per stratum, one per radius. Rescaling always uses the level matching that site’s radius.</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Configuration dimension (§6.5)</w:t>
            </w:r>
          </w:p>
        </w:tc>
        <w:tc>
          <w:tcPr>
            <w:tcW w:type="dxa" w:w="6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Now computed over the COMMON 150 m circle at every site, without exception. A polygon can be small or thin, and a 70 m pattern window needs a minimum extent to mean anything. One uniform rule replaces the max(radius, 150 m) rule of v3.4.</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Drawing the polygons (Stage 1)</w:t>
            </w:r>
          </w:p>
        </w:tc>
        <w:tc>
          <w:tcPr>
            <w:tcW w:type="dxa" w:w="6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You draw one polygon per settlement on high-resolution imagery, from STRUCTURAL features and never from colour (§7.1a). Its area replaces the traced extent, so this upgrades a step you had already agreed to rather than adding one.</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Size classification (Stage 1)</w:t>
            </w:r>
          </w:p>
        </w:tc>
        <w:tc>
          <w:tcPr>
            <w:tcW w:type="dxa" w:w="6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size class no longer sets a measurement radius — the polygon does that. It survives as one thing only: WHICH REFERENCE CIRCLE SIZE a site is matched to, computed from the polygon’s area. The documentary managed area now corroborates the polygon rather than setting geometry.</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Matching (Stage 2)</w:t>
            </w:r>
          </w:p>
        </w:tc>
        <w:tc>
          <w:tcPr>
            <w:tcW w:type="dxa" w:w="6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Controls inherit the settlement’s size class, so a comparison is always like-for-like.</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Analyses (Part 8)</w:t>
            </w:r>
          </w:p>
        </w:tc>
        <w:tc>
          <w:tcPr>
            <w:tcW w:type="dxa" w:w="6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A1 and everything downstream now run on the class zone. A9 is new. Nine hypotheses, nine analyses.</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Sensitivity checks (Part 9)</w:t>
            </w:r>
          </w:p>
        </w:tc>
        <w:tc>
          <w:tcPr>
            <w:tcW w:type="dxa" w:w="6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SC1 is rewritten again: the alternative specification is now the SIZE-MATCHED CIRCLE instead of the polygon, which is how the polygon drawing is checked for bias. SC16 restricts to sites where the polygon and the documentary area agree. Sixteen checks in total.</w:t>
            </w:r>
          </w:p>
        </w:tc>
      </w:tr>
    </w:tbl>
    <w:p>
      <w:pPr>
        <w:spacing w:after="140"/>
      </w:pPr>
    </w:p>
    <w:p>
      <w:pPr>
        <w:spacing w:after="120" w:line="276"/>
        <w:jc w:val="both"/>
      </w:pPr>
      <w:r>
        <w:rPr>
          <w:rFonts w:ascii="Calibri" w:cs="Calibri" w:eastAsia="Calibri" w:hAnsi="Calibri"/>
          <w:b/>
          <w:bCs/>
          <w:i w:val="false"/>
          <w:iCs w:val="false"/>
          <w:color w:val="000000"/>
          <w:sz w:val="21"/>
          <w:szCs w:val="21"/>
        </w:rPr>
        <w:t xml:space="preserve">What did NOT change, and why it matters. </w:t>
      </w:r>
      <w:r>
        <w:rPr>
          <w:rFonts w:ascii="Calibri" w:cs="Calibri" w:eastAsia="Calibri" w:hAnsi="Calibri"/>
          <w:b w:val="false"/>
          <w:bCs w:val="false"/>
          <w:i w:val="false"/>
          <w:iCs w:val="false"/>
          <w:color w:val="000000"/>
          <w:sz w:val="21"/>
          <w:szCs w:val="21"/>
        </w:rPr>
        <w:t xml:space="preserve">The rings stay exactly as they were — 0 to 50, 50 to 100, 100 to 150, 150 to 250, 250 to 500 metres — because the radial gradient (A3) needs a common horizontal axis across every site. The primary zone and the rings are separate geometries answering separate questions.</w:t>
      </w:r>
    </w:p>
    <w:p>
      <w:pPr>
        <w:spacing w:after="140"/>
      </w:pPr>
    </w:p>
    <w:p>
      <w:pPr>
        <w:pStyle w:val="Heading2"/>
        <w:spacing w:after="130" w:before="280"/>
      </w:pPr>
      <w:r>
        <w:rPr>
          <w:rFonts w:ascii="Calibri" w:cs="Calibri" w:eastAsia="Calibri" w:hAnsi="Calibri"/>
          <w:b/>
          <w:bCs/>
          <w:color w:val="2E5496"/>
          <w:sz w:val="25"/>
          <w:szCs w:val="25"/>
        </w:rPr>
        <w:t xml:space="preserve">0.5  What version 3.3 added</w:t>
      </w:r>
    </w:p>
    <w:p>
      <w:pPr>
        <w:spacing w:after="120" w:line="276"/>
        <w:jc w:val="both"/>
      </w:pPr>
      <w:r>
        <w:rPr>
          <w:rFonts w:ascii="Calibri" w:cs="Calibri" w:eastAsia="Calibri" w:hAnsi="Calibri"/>
          <w:b w:val="false"/>
          <w:bCs w:val="false"/>
          <w:i w:val="false"/>
          <w:iCs w:val="false"/>
          <w:color w:val="000000"/>
          <w:sz w:val="21"/>
          <w:szCs w:val="21"/>
        </w:rPr>
        <w:t xml:space="preserve">All three answer the same question — whether the study can verify what these communities actually claim. Two of them make the answer YES in places where it was previously no; the third states honestly where the answer remains no.</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700"/>
        <w:gridCol w:w="2300"/>
        <w:gridCol w:w="1300"/>
        <w:gridCol w:w="4720"/>
      </w:tblGrid>
      <w:tr>
        <w:trPr>
          <w:tblHeader/>
        </w:trPr>
        <w:tc>
          <w:tcPr>
            <w:tcW w:type="dxa" w:w="7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c>
          <w:tcPr>
            <w:tcW w:type="dxa" w:w="23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Change</w:t>
            </w:r>
          </w:p>
        </w:tc>
        <w:tc>
          <w:tcPr>
            <w:tcW w:type="dxa" w:w="13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Cost</w:t>
            </w:r>
          </w:p>
        </w:tc>
        <w:tc>
          <w:tcPr>
            <w:tcW w:type="dxa" w:w="47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Why</w:t>
            </w:r>
          </w:p>
        </w:tc>
      </w:tr>
      <w:tr>
        <w:tc>
          <w:tcPr>
            <w:tcW w:type="dxa" w:w="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w:t>
            </w:r>
          </w:p>
        </w:tc>
        <w:tc>
          <w:tcPr>
            <w:tcW w:type="dxa" w:w="23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RESOLUTION STATEMENT (§3.3, and limitation 1 in §10.3)</w:t>
            </w:r>
          </w:p>
        </w:tc>
        <w:tc>
          <w:tcPr>
            <w:tcW w:type="dxa" w:w="13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One callout</w:t>
            </w:r>
          </w:p>
        </w:tc>
        <w:tc>
          <w:tcPr>
            <w:tcW w:type="dxa" w:w="47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study sees FIELD-SCALE geometry, not ELEMENT-SCALE design. A food forest block, a market-garden bed system and a pond are visible; a hedgerow 2–4 m wide, a swale 1–3 m wide, a herb spiral and a keyhole bed are all smaller than one pixel. This was in the original protocol set and was lost in simplification. It is the first objection a permaculture-literate reader will raise, and it changes how a null result at a small community should be read — possibly "below the resolution" rather than "did not work".</w:t>
            </w:r>
          </w:p>
        </w:tc>
      </w:tr>
      <w:tr>
        <w:tc>
          <w:tcPr>
            <w:tcW w:type="dxa" w:w="7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w:t>
            </w:r>
          </w:p>
        </w:tc>
        <w:tc>
          <w:tcPr>
            <w:tcW w:type="dxa" w:w="23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PC13 — LAND RESTORATION OR REHABILITATION, non-tree (§3.10)</w:t>
            </w:r>
          </w:p>
        </w:tc>
        <w:tc>
          <w:tcPr>
            <w:tcW w:type="dxa" w:w="13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One code</w:t>
            </w:r>
          </w:p>
        </w:tc>
        <w:tc>
          <w:tcPr>
            <w:tcW w:type="dxa" w:w="47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Only PC07 covered restoration, and only TREE planting. Grassland and pasture restoration, wetland creation and erosion control are the commonest restoration claims after tree planting, and none had a code — so a community claiming them had no testable prediction at all. PC13 predicts lower bare ground, longer cover duration and a higher dry-season minimum, all of which appear within one or two growing seasons.</w:t>
            </w:r>
          </w:p>
        </w:tc>
      </w:tr>
      <w:tr>
        <w:tc>
          <w:tcPr>
            <w:tcW w:type="dxa" w:w="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w:t>
            </w:r>
          </w:p>
        </w:tc>
        <w:tc>
          <w:tcPr>
            <w:tcW w:type="dxa" w:w="23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SC15 — CONTOUR-ALIGNMENT TEST (§9.5), with the supplementary metric CA</w:t>
            </w:r>
          </w:p>
        </w:tc>
        <w:tc>
          <w:tcPr>
            <w:tcW w:type="dxa" w:w="13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 day, no new extraction</w:t>
            </w:r>
          </w:p>
        </w:tc>
        <w:tc>
          <w:tcPr>
            <w:tcW w:type="dxa" w:w="47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partial exception to change A. A swale is sub-pixel, but the study CAN see that boundaries run ALONG the contour rather than across it — the design leaves a field-scale fingerprint even though its elements are invisible. This is the most practice-specific measurement in the study and it is class M, so site selection has almost no purchase on it. It also gives PC02 (swales and keyline) a real predicted signature, which it previously lacked. Null on flat ground, so it stays outside the index.</w:t>
            </w:r>
          </w:p>
        </w:tc>
      </w:tr>
    </w:tbl>
    <w:p>
      <w:pPr>
        <w:spacing w:after="140"/>
      </w:pPr>
    </w:p>
    <w:p>
      <w:pPr>
        <w:spacing w:after="120" w:line="276"/>
        <w:jc w:val="both"/>
      </w:pPr>
      <w:r>
        <w:rPr>
          <w:rFonts w:ascii="Calibri" w:cs="Calibri" w:eastAsia="Calibri" w:hAnsi="Calibri"/>
          <w:b/>
          <w:bCs/>
          <w:i w:val="false"/>
          <w:iCs w:val="false"/>
          <w:color w:val="000000"/>
          <w:sz w:val="21"/>
          <w:szCs w:val="21"/>
        </w:rPr>
        <w:t xml:space="preserve">One consequence for the coding workbook. </w:t>
      </w:r>
      <w:r>
        <w:rPr>
          <w:rFonts w:ascii="Calibri" w:cs="Calibri" w:eastAsia="Calibri" w:hAnsi="Calibri"/>
          <w:b w:val="false"/>
          <w:bCs w:val="false"/>
          <w:i w:val="false"/>
          <w:iCs w:val="false"/>
          <w:color w:val="000000"/>
          <w:sz w:val="21"/>
          <w:szCs w:val="21"/>
        </w:rPr>
        <w:t xml:space="preserve">PC13 brings the practice codebook to thirteen. Because Stage 1 coding has not begun, adding it costs nothing — retrofitting a code after coding starts would mean re-reading every community, which is why it is being added now rather than later.</w:t>
      </w:r>
    </w:p>
    <w:p>
      <w:pPr>
        <w:spacing w:after="140"/>
      </w:pPr>
    </w:p>
    <w:p>
      <w:pPr>
        <w:pStyle w:val="Heading2"/>
        <w:spacing w:after="130" w:before="280"/>
      </w:pPr>
      <w:r>
        <w:rPr>
          <w:rFonts w:ascii="Calibri" w:cs="Calibri" w:eastAsia="Calibri" w:hAnsi="Calibri"/>
          <w:b/>
          <w:bCs/>
          <w:color w:val="2E5496"/>
          <w:sz w:val="25"/>
          <w:szCs w:val="25"/>
        </w:rPr>
        <w:t xml:space="preserve">0.6  What version 3.2 added</w:t>
      </w:r>
    </w:p>
    <w:p>
      <w:pPr>
        <w:spacing w:after="120" w:line="276"/>
        <w:jc w:val="both"/>
      </w:pPr>
      <w:r>
        <w:rPr>
          <w:rFonts w:ascii="Calibri" w:cs="Calibri" w:eastAsia="Calibri" w:hAnsi="Calibri"/>
          <w:b w:val="false"/>
          <w:bCs w:val="false"/>
          <w:i w:val="false"/>
          <w:iCs w:val="false"/>
          <w:color w:val="000000"/>
          <w:sz w:val="21"/>
          <w:szCs w:val="21"/>
        </w:rPr>
        <w:t xml:space="preserve">Two items, both small, both prompted by one question: can this study say anything about SUSTAINABILITY, rather than only about condition at a moment?</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700"/>
        <w:gridCol w:w="2400"/>
        <w:gridCol w:w="1300"/>
        <w:gridCol w:w="4620"/>
      </w:tblGrid>
      <w:tr>
        <w:trPr>
          <w:tblHeader/>
        </w:trPr>
        <w:tc>
          <w:tcPr>
            <w:tcW w:type="dxa" w:w="7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c>
          <w:tcPr>
            <w:tcW w:type="dxa" w:w="24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Change</w:t>
            </w:r>
          </w:p>
        </w:tc>
        <w:tc>
          <w:tcPr>
            <w:tcW w:type="dxa" w:w="13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Cost</w:t>
            </w:r>
          </w:p>
        </w:tc>
        <w:tc>
          <w:tcPr>
            <w:tcW w:type="dxa" w:w="46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Why</w:t>
            </w:r>
          </w:p>
        </w:tc>
      </w:tr>
      <w:tr>
        <w:tc>
          <w:tcPr>
            <w:tcW w:type="dxa" w:w="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w:t>
            </w:r>
          </w:p>
        </w:tc>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SC14 — DROUGHT-YEAR INTERACTION TEST (§9.4, figure F8a)</w:t>
            </w:r>
          </w:p>
        </w:tc>
        <w:tc>
          <w:tcPr>
            <w:tcW w:type="dxa" w:w="13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 day, no new extraction</w:t>
            </w:r>
          </w:p>
        </w:tc>
        <w:tc>
          <w:tcPr>
            <w:tcW w:type="dxa" w:w="4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closest thing to a sustainability test that free satellite data allows. Two systems can look identical in normal years and separate sharply in a dry one. Four explanations predict differently in drought, so this is a MECHANISM test with a directional prediction rather than a stability check — and the sharpest result it can produce is a widening advantage among settlements whose water-subsidy flag is NOT raised, which is the management story with irrigation already ruled out. Added as a sensitivity check and deliberately NOT as an index metric: it is unavailable at many sites and its availability follows climate, so inside VCI it would propagate patterned missingness into the persistence dimension.</w:t>
            </w:r>
          </w:p>
        </w:tc>
      </w:tr>
      <w:tr>
        <w:tc>
          <w:tcPr>
            <w:tcW w:type="dxa" w:w="7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w:t>
            </w:r>
          </w:p>
        </w:tc>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WATER-PROXIMITY MATCHING RESTORED (Stage 2)</w:t>
            </w:r>
          </w:p>
        </w:tc>
        <w:tc>
          <w:tcPr>
            <w:tcW w:type="dxa" w:w="13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One line in the matching rule</w:t>
            </w:r>
          </w:p>
        </w:tc>
        <w:tc>
          <w:tcPr>
            <w:tcW w:type="dxa" w:w="4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This was criterion C6 in the original protocol set and was lost during simplification. It matters on its own terms — water access shapes both attainable vegetation and where people settle, so it causes both arms — and it matters especially for SC14, because proximity to water is the most obvious alternative explanation for a drought-resistance difference. Better held constant at matching than argued about afterwards.</w:t>
            </w:r>
          </w:p>
        </w:tc>
      </w:tr>
    </w:tbl>
    <w:p>
      <w:pPr>
        <w:spacing w:after="140"/>
      </w:pPr>
    </w:p>
    <w:p>
      <w:pPr>
        <w:spacing w:after="120" w:line="276"/>
        <w:jc w:val="both"/>
      </w:pPr>
      <w:r>
        <w:rPr>
          <w:rFonts w:ascii="Calibri" w:cs="Calibri" w:eastAsia="Calibri" w:hAnsi="Calibri"/>
          <w:b/>
          <w:bCs/>
          <w:i w:val="false"/>
          <w:iCs w:val="false"/>
          <w:color w:val="000000"/>
          <w:sz w:val="21"/>
          <w:szCs w:val="21"/>
        </w:rPr>
        <w:t xml:space="preserve">What version 3.2 deliberately does NOT claim. </w:t>
      </w:r>
      <w:r>
        <w:rPr>
          <w:rFonts w:ascii="Calibri" w:cs="Calibri" w:eastAsia="Calibri" w:hAnsi="Calibri"/>
          <w:b w:val="false"/>
          <w:bCs w:val="false"/>
          <w:i w:val="false"/>
          <w:iCs w:val="false"/>
          <w:color w:val="000000"/>
          <w:sz w:val="21"/>
          <w:szCs w:val="21"/>
        </w:rPr>
        <w:t xml:space="preserve">SC14 makes the sustainability argument stronger; it does not make the study a measurement of sustainability. Soil remains unobserved, aquifer drawdown is invisible, the record is seven years against a multi-decadal question, and exported costs downstream are not measured. The plan’s language rules (§10.2) are unchanged, and "sustainable" remains a word the study argues toward rather than one it reports.</w:t>
      </w:r>
    </w:p>
    <w:p>
      <w:pPr>
        <w:spacing w:after="140"/>
      </w:pPr>
    </w:p>
    <w:p>
      <w:pPr>
        <w:pStyle w:val="Heading2"/>
        <w:spacing w:after="130" w:before="280"/>
      </w:pPr>
      <w:r>
        <w:rPr>
          <w:rFonts w:ascii="Calibri" w:cs="Calibri" w:eastAsia="Calibri" w:hAnsi="Calibri"/>
          <w:b/>
          <w:bCs/>
          <w:color w:val="2E5496"/>
          <w:sz w:val="25"/>
          <w:szCs w:val="25"/>
        </w:rPr>
        <w:t xml:space="preserve">0.7  What version 3.1 added, and the one thing it corrected</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700"/>
        <w:gridCol w:w="2200"/>
        <w:gridCol w:w="1400"/>
        <w:gridCol w:w="4720"/>
      </w:tblGrid>
      <w:tr>
        <w:trPr>
          <w:tblHeader/>
        </w:trPr>
        <w:tc>
          <w:tcPr>
            <w:tcW w:type="dxa" w:w="7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c>
          <w:tcPr>
            <w:tcW w:type="dxa" w:w="22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Change</w:t>
            </w:r>
          </w:p>
        </w:tc>
        <w:tc>
          <w:tcPr>
            <w:tcW w:type="dxa" w:w="14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Cost</w:t>
            </w:r>
          </w:p>
        </w:tc>
        <w:tc>
          <w:tcPr>
            <w:tcW w:type="dxa" w:w="47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Why</w:t>
            </w:r>
          </w:p>
        </w:tc>
      </w:tr>
      <w:tr>
        <w:tc>
          <w:tcPr>
            <w:tcW w:type="dxa" w:w="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w:t>
            </w:r>
          </w:p>
        </w:tc>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COHORT WINDOWS MADE ASYMMETRIC: three pre-onset years and FOUR post-onset years, core onset range narrowed to 2020–2021</w:t>
            </w:r>
          </w:p>
        </w:tc>
        <w:tc>
          <w:tcPr>
            <w:tcW w:type="dxa" w:w="1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None — same data</w:t>
            </w:r>
          </w:p>
        </w:tc>
        <w:tc>
          <w:tcPr>
            <w:tcW w:type="dxa" w:w="47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CORRECTION. Version 3.0 used three and three out of symmetry, not reasoning. Nothing in a difference-in-differences requires equal windows. Three years is ample to fix a baseline and far too short to see the effect: cover cropping responds in a season, but pasture restoration takes two to five years and tree crown cover three to eight. The fourth post-year raises the average effect by about a quarter at a six per cent cost in precision — a net gain of about a third. Narrowing to 2020–2021 keeps three pre-years, which is what the pre-trend test needs (§8.10).</w:t>
            </w:r>
          </w:p>
        </w:tc>
      </w:tr>
      <w:tr>
        <w:tc>
          <w:tcPr>
            <w:tcW w:type="dxa" w:w="7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w:t>
            </w:r>
          </w:p>
        </w:tc>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RED-EDGE metric VM13</w:t>
            </w:r>
          </w:p>
        </w:tc>
        <w:tc>
          <w:tcPr>
            <w:tcW w:type="dxa" w:w="1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 band, 1 index</w:t>
            </w:r>
          </w:p>
        </w:tc>
        <w:tc>
          <w:tcPr>
            <w:tcW w:type="dxa" w:w="47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Sentinel-2’s red-edge bands are its greatest advantage over every earlier sensor, and no version of this plan used them. NDRE responds to leaf chlorophyll — how well NOURISHED the vegetation is — which broadband greenness cannot separate from how MUCH vegetation there is.</w:t>
            </w:r>
          </w:p>
        </w:tc>
      </w:tr>
      <w:tr>
        <w:tc>
          <w:tcPr>
            <w:tcW w:type="dxa" w:w="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w:t>
            </w:r>
          </w:p>
        </w:tc>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SEASONAL DECLINE RATE metric VM14</w:t>
            </w:r>
          </w:p>
        </w:tc>
        <w:tc>
          <w:tcPr>
            <w:tcW w:type="dxa" w:w="1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Free — from the fitted curve</w:t>
            </w:r>
          </w:p>
        </w:tc>
        <w:tc>
          <w:tcPr>
            <w:tcW w:type="dxa" w:w="47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plan measured how LONG vegetation stays green but never HOW FAST it browns. A mulched, deep-rooted, water-retentive system declines gradually; a shallow annual monoculture crashes. That is a management signature, and it is management-diagnostic class.</w:t>
            </w:r>
          </w:p>
        </w:tc>
      </w:tr>
      <w:tr>
        <w:tc>
          <w:tcPr>
            <w:tcW w:type="dxa" w:w="7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w:t>
            </w:r>
          </w:p>
        </w:tc>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SITE TYPOLOGY (§6.8) and TYPOLOGY DISTRIBUTION (T11, F7a)</w:t>
            </w:r>
          </w:p>
        </w:tc>
        <w:tc>
          <w:tcPr>
            <w:tcW w:type="dxa" w:w="1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Half a day</w:t>
            </w:r>
          </w:p>
        </w:tc>
        <w:tc>
          <w:tcPr>
            <w:tcW w:type="dxa" w:w="47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plan produced one average answer for 212 communities that will differ enormously from each other. The typology classifies each by KIND — direction, maintenance mode, dominant dimension — which is far more reliable at site level than a ranking, because flags rest on a two-component rule and dimension profiles are multivariate.</w:t>
            </w:r>
          </w:p>
        </w:tc>
      </w:tr>
      <w:tr>
        <w:tc>
          <w:tcPr>
            <w:tcW w:type="dxa" w:w="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w:t>
            </w:r>
          </w:p>
        </w:tc>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PER-COMMUNITY RESULTS TABLE (§10.4) and shrinkage estimation (§8.12)</w:t>
            </w:r>
          </w:p>
        </w:tc>
        <w:tc>
          <w:tcPr>
            <w:tcW w:type="dxa" w:w="1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2–3 days</w:t>
            </w:r>
          </w:p>
        </w:tc>
        <w:tc>
          <w:tcPr>
            <w:tcW w:type="dxa" w:w="47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Both a thesis deliverable and the training data for the second study, which cannot be built without per-site targets. Shrinkage is required because a single community’s estimate is about fifteen times less precise than the pooled one, so raw per-site values would be mostly noise at the extremes.</w:t>
            </w:r>
          </w:p>
        </w:tc>
      </w:tr>
      <w:tr>
        <w:tc>
          <w:tcPr>
            <w:tcW w:type="dxa" w:w="7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w:t>
            </w:r>
          </w:p>
        </w:tc>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SC13 — soil-adjusted index in sparse-vegetation strata</w:t>
            </w:r>
          </w:p>
        </w:tc>
        <w:tc>
          <w:tcPr>
            <w:tcW w:type="dxa" w:w="1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 day</w:t>
            </w:r>
          </w:p>
        </w:tc>
        <w:tc>
          <w:tcPr>
            <w:tcW w:type="dxa" w:w="47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In arid strata bare soil drives NDVI as much as vegetation does. Tells you whether the descriptive picture for your fourteen arid communities is an artefact of the index.</w:t>
            </w:r>
          </w:p>
        </w:tc>
      </w:tr>
    </w:tbl>
    <w:p>
      <w:pPr>
        <w:spacing w:after="140"/>
      </w:pPr>
    </w:p>
    <w:p>
      <w:pPr>
        <w:spacing w:after="120" w:line="276"/>
        <w:jc w:val="both"/>
      </w:pPr>
      <w:r>
        <w:rPr>
          <w:rFonts w:ascii="Calibri" w:cs="Calibri" w:eastAsia="Calibri" w:hAnsi="Calibri"/>
          <w:b/>
          <w:bCs/>
          <w:i w:val="false"/>
          <w:iCs w:val="false"/>
          <w:color w:val="000000"/>
          <w:sz w:val="21"/>
          <w:szCs w:val="21"/>
        </w:rPr>
        <w:t xml:space="preserve">What was deliberately NOT added. </w:t>
      </w:r>
      <w:r>
        <w:rPr>
          <w:rFonts w:ascii="Calibri" w:cs="Calibri" w:eastAsia="Calibri" w:hAnsi="Calibri"/>
          <w:b w:val="false"/>
          <w:bCs w:val="false"/>
          <w:i w:val="false"/>
          <w:iCs w:val="false"/>
          <w:color w:val="000000"/>
          <w:sz w:val="21"/>
          <w:szCs w:val="21"/>
        </w:rPr>
        <w:t xml:space="preserve">More greenness indices. EVI, GNDVI, SAVI as a headline metric, ARVI, TVI and the rest all correlate above 0.9 with NDVI. Adding them would not strengthen the study; it would break the geometric mean by letting one signal count several times, and the redundancy check of §6.7 would delete them anyway. The question is how many INDEPENDENT SIGNALS the set carries, not how many indices. Fourteen metrics now carry eight signals.</w:t>
      </w:r>
    </w:p>
    <w:p>
      <w:pPr>
        <w:spacing w:after="140"/>
      </w:pPr>
    </w:p>
    <w:p>
      <w:pPr>
        <w:pStyle w:val="Heading2"/>
        <w:spacing w:after="130" w:before="280"/>
      </w:pPr>
      <w:r>
        <w:rPr>
          <w:rFonts w:ascii="Calibri" w:cs="Calibri" w:eastAsia="Calibri" w:hAnsi="Calibri"/>
          <w:b/>
          <w:bCs/>
          <w:color w:val="2E5496"/>
          <w:sz w:val="25"/>
          <w:szCs w:val="25"/>
        </w:rPr>
        <w:t xml:space="preserve">0.8  What version 3.0 added</w:t>
      </w:r>
    </w:p>
    <w:p>
      <w:pPr>
        <w:spacing w:after="120" w:line="276"/>
        <w:jc w:val="both"/>
      </w:pPr>
      <w:r>
        <w:rPr>
          <w:rFonts w:ascii="Calibri" w:cs="Calibri" w:eastAsia="Calibri" w:hAnsi="Calibri"/>
          <w:b w:val="false"/>
          <w:bCs w:val="false"/>
          <w:i w:val="false"/>
          <w:iCs w:val="false"/>
          <w:color w:val="000000"/>
          <w:sz w:val="21"/>
          <w:szCs w:val="21"/>
        </w:rPr>
        <w:t xml:space="preserve">Five of these came from external expert review of version 2.0; the sixth is a correction of an omission I made when simplifying. Each was chosen because it strengthens the study without adding a new data stream, a new model class or a new pipeline.</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700"/>
        <w:gridCol w:w="2200"/>
        <w:gridCol w:w="1400"/>
        <w:gridCol w:w="4720"/>
      </w:tblGrid>
      <w:tr>
        <w:trPr>
          <w:tblHeader/>
        </w:trPr>
        <w:tc>
          <w:tcPr>
            <w:tcW w:type="dxa" w:w="7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c>
          <w:tcPr>
            <w:tcW w:type="dxa" w:w="22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Addition</w:t>
            </w:r>
          </w:p>
        </w:tc>
        <w:tc>
          <w:tcPr>
            <w:tcW w:type="dxa" w:w="14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Cost</w:t>
            </w:r>
          </w:p>
        </w:tc>
        <w:tc>
          <w:tcPr>
            <w:tcW w:type="dxa" w:w="47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What it buys</w:t>
            </w:r>
          </w:p>
        </w:tc>
      </w:tr>
      <w:tr>
        <w:tc>
          <w:tcPr>
            <w:tcW w:type="dxa" w:w="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w:t>
            </w:r>
          </w:p>
        </w:tc>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LONGITUDINAL COHORT (analysis A8)</w:t>
            </w:r>
          </w:p>
        </w:tc>
        <w:tc>
          <w:tcPr>
            <w:tcW w:type="dxa" w:w="1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3–4 weeks, +2 years of extraction</w:t>
            </w:r>
          </w:p>
        </w:tc>
        <w:tc>
          <w:tcPr>
            <w:tcW w:type="dxa" w:w="47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largest gain. For ~65 communities with onset in 2020–2022, the land is observed BEFORE and AFTER intervention began. This is the only component that can TEST the identifying assumption rather than argue around it — with three pre-onset years, a divergence that was already under way before onset becomes visible. It answers the first question any reviewer asks of a cross-sectional design: how do you know they did not start out different?</w:t>
            </w:r>
          </w:p>
        </w:tc>
      </w:tr>
      <w:tr>
        <w:tc>
          <w:tcPr>
            <w:tcW w:type="dxa" w:w="7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w:t>
            </w:r>
          </w:p>
        </w:tc>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Unmeasured-confounding sensitivity (SC11)</w:t>
            </w:r>
          </w:p>
        </w:tc>
        <w:tc>
          <w:tcPr>
            <w:tcW w:type="dxa" w:w="1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 day</w:t>
            </w:r>
          </w:p>
        </w:tc>
        <w:tc>
          <w:tcPr>
            <w:tcW w:type="dxa" w:w="47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Answers "what if you missed a confounder?" with a number rather than a shrug. Correcting an omission: the old protocol set had this and I dropped it when simplifying. It was the largest remaining hole in version 2.0.</w:t>
            </w:r>
          </w:p>
        </w:tc>
      </w:tr>
      <w:tr>
        <w:tc>
          <w:tcPr>
            <w:tcW w:type="dxa" w:w="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3</w:t>
            </w:r>
          </w:p>
        </w:tc>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Causal diagram — the DAG (§3.9)</w:t>
            </w:r>
          </w:p>
        </w:tc>
        <w:tc>
          <w:tcPr>
            <w:tcW w:type="dxa" w:w="1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 page</w:t>
            </w:r>
          </w:p>
        </w:tc>
        <w:tc>
          <w:tcPr>
            <w:tcW w:type="dxa" w:w="47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Shows WHY each matching variable was chosen, and — more importantly — why some variables were deliberately NOT adjusted for. Prevents the specific error of conditioning on a variable that lies on the causal path, which would bias the result toward zero.</w:t>
            </w:r>
          </w:p>
        </w:tc>
      </w:tr>
      <w:tr>
        <w:tc>
          <w:tcPr>
            <w:tcW w:type="dxa" w:w="7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4</w:t>
            </w:r>
          </w:p>
        </w:tc>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Leave-region-out reference anchoring (SC12)</w:t>
            </w:r>
          </w:p>
        </w:tc>
        <w:tc>
          <w:tcPr>
            <w:tcW w:type="dxa" w:w="1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 day</w:t>
            </w:r>
          </w:p>
        </w:tc>
        <w:tc>
          <w:tcPr>
            <w:tcW w:type="dxa" w:w="47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sharpest catch in the expert review. The reference pools partly come from the same regions as the settlements, which makes the index PARTLY ENDOGENOUS. This check builds reference anchors with a region excluded, then scores that region’s settlements against them.</w:t>
            </w:r>
          </w:p>
        </w:tc>
      </w:tr>
      <w:tr>
        <w:tc>
          <w:tcPr>
            <w:tcW w:type="dxa" w:w="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5</w:t>
            </w:r>
          </w:p>
        </w:tc>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Hold-out index validation, 70/30 (§6.7)</w:t>
            </w:r>
          </w:p>
        </w:tc>
        <w:tc>
          <w:tcPr>
            <w:tcW w:type="dxa" w:w="1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Free</w:t>
            </w:r>
          </w:p>
        </w:tc>
        <w:tc>
          <w:tcPr>
            <w:tcW w:type="dxa" w:w="47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Splits the known-answer landscapes into a set used to develop the index and a set used only to test it. Removes "the index was tuned to its own validation set" as an objection entirely.</w:t>
            </w:r>
          </w:p>
        </w:tc>
      </w:tr>
      <w:tr>
        <w:tc>
          <w:tcPr>
            <w:tcW w:type="dxa" w:w="7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6</w:t>
            </w:r>
          </w:p>
        </w:tc>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Love plot and three-tier match quality (Stage 2, figure F2a)</w:t>
            </w:r>
          </w:p>
        </w:tc>
        <w:tc>
          <w:tcPr>
            <w:tcW w:type="dxa" w:w="1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Free</w:t>
            </w:r>
          </w:p>
        </w:tc>
        <w:tc>
          <w:tcPr>
            <w:tcW w:type="dxa" w:w="47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Makes covariate balance visible at a glance rather than buried in a table, and grades every quartet so that match quality can be reported and tested rather than assumed.</w:t>
            </w:r>
          </w:p>
        </w:tc>
      </w:tr>
    </w:tbl>
    <w:p>
      <w:pPr>
        <w:spacing w:after="140"/>
      </w:pPr>
    </w:p>
    <w:p>
      <w:pPr>
        <w:spacing w:after="120" w:line="276"/>
        <w:jc w:val="both"/>
      </w:pPr>
      <w:r>
        <w:rPr>
          <w:rFonts w:ascii="Calibri" w:cs="Calibri" w:eastAsia="Calibri" w:hAnsi="Calibri"/>
          <w:b/>
          <w:bCs/>
          <w:i w:val="false"/>
          <w:iCs w:val="false"/>
          <w:color w:val="000000"/>
          <w:sz w:val="21"/>
          <w:szCs w:val="21"/>
        </w:rPr>
        <w:t xml:space="preserve">One thing the expert proposed that was NOT adopted, and why. </w:t>
      </w:r>
      <w:r>
        <w:rPr>
          <w:rFonts w:ascii="Calibri" w:cs="Calibri" w:eastAsia="Calibri" w:hAnsi="Calibri"/>
          <w:b w:val="false"/>
          <w:bCs w:val="false"/>
          <w:i w:val="false"/>
          <w:iCs w:val="false"/>
          <w:color w:val="000000"/>
          <w:sz w:val="21"/>
          <w:szCs w:val="21"/>
        </w:rPr>
        <w:t xml:space="preserve">A set of numerical credibility scores — "causal credibility rises from 62 to 78" and similar. Those numbers are rhetorical rather than measured, and putting them in a thesis invites a reader to ask how they were computed. The upgrades are worth making on their merits; the scores are not worth quoting.</w:t>
      </w:r>
    </w:p>
    <w:p>
      <w:pPr>
        <w:spacing w:after="140"/>
      </w:pPr>
    </w:p>
    <w:p>
      <w:pPr>
        <w:pStyle w:val="Heading2"/>
        <w:spacing w:after="130" w:before="280"/>
      </w:pPr>
      <w:r>
        <w:rPr>
          <w:rFonts w:ascii="Calibri" w:cs="Calibri" w:eastAsia="Calibri" w:hAnsi="Calibri"/>
          <w:b/>
          <w:bCs/>
          <w:color w:val="2E5496"/>
          <w:sz w:val="25"/>
          <w:szCs w:val="25"/>
        </w:rPr>
        <w:t xml:space="preserve">0.9  What was kept, and why none of it can go</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6620"/>
      </w:tblGrid>
      <w:tr>
        <w:trPr>
          <w:tblHeader/>
        </w:trPr>
        <w:tc>
          <w:tcPr>
            <w:tcW w:type="dxa" w:w="24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Kept</w:t>
            </w:r>
          </w:p>
        </w:tc>
        <w:tc>
          <w:tcPr>
            <w:tcW w:type="dxa" w:w="66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Why it is not optional</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SIZE-MATCHED measurement zone of 100, 150 or 200 m — never 500 m</w:t>
            </w:r>
          </w:p>
        </w:tc>
        <w:tc>
          <w:tcPr>
            <w:tcW w:type="dxa" w:w="6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single fix that makes the study work. A 5-hectare intervention averaged over a 500 m disk shows as 0.006 NDVI units and is invisible. Over a 150 m zone it shows as 0.071 — three and a half times the smallest difference you could detect. The discontinued study failed for this reason alone. Version 3.4 refines the fix rather than replacing it: the zone is now matched to how much land each community actually works (§0.4).</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Reference-anchored rescaling</w:t>
            </w:r>
          </w:p>
        </w:tc>
        <w:tc>
          <w:tcPr>
            <w:tcW w:type="dxa" w:w="6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dry-season NDVI of 0.45 is excellent in semi-arid rangeland and poor in humid forest. Without expressing every value against what is locally attainable, a global comparison measures climate — and the climate difference is far larger than any effect you seek.</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Three matched controls per settlement</w:t>
            </w:r>
          </w:p>
        </w:tc>
        <w:tc>
          <w:tcPr>
            <w:tcW w:type="dxa" w:w="6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This is the comparison. Without it there is no study. Three controls capture two-thirds of the maximum available precision gain; a fourth adds eight percentage points.</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Built-up masking, composition reported separately</w:t>
            </w:r>
          </w:p>
        </w:tc>
        <w:tc>
          <w:tcPr>
            <w:tcW w:type="dxa" w:w="6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Measured, not assumed: a village zone at 150 m is on average 44% built surface, and built fraction explains about a fifth of the variation between comparable sites. A twenty-point mismatch manufactures a full detectable difference of meaningless signal. This is the largest single route to a false positive in the whole study.</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water-subsidy flag</w:t>
            </w:r>
          </w:p>
        </w:tc>
        <w:tc>
          <w:tcPr>
            <w:tcW w:type="dxa" w:w="6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Without it, "greener" cannot be distinguished from "irrigated", and the study reduces to an NDVI comparison a reviewer will dismiss in one sentence.</w:t>
            </w:r>
          </w:p>
        </w:tc>
      </w:tr>
    </w:tbl>
    <w:p>
      <w:pPr>
        <w:spacing w:after="140"/>
      </w:pPr>
    </w:p>
    <w:p>
      <w:pPr>
        <w:pStyle w:val="Heading2"/>
        <w:spacing w:after="130" w:before="280"/>
      </w:pPr>
      <w:r>
        <w:rPr>
          <w:rFonts w:ascii="Calibri" w:cs="Calibri" w:eastAsia="Calibri" w:hAnsi="Calibri"/>
          <w:b/>
          <w:bCs/>
          <w:color w:val="2E5496"/>
          <w:sz w:val="25"/>
          <w:szCs w:val="25"/>
        </w:rPr>
        <w:t xml:space="preserve">0.10  The three disciplines that remain</w:t>
      </w:r>
    </w:p>
    <w:p>
      <w:pPr>
        <w:pStyle w:val="ListParagraph"/>
        <w:numPr>
          <w:ilvl w:val="0"/>
          <w:numId w:val="2"/>
        </w:numPr>
        <w:spacing w:after="80" w:line="276"/>
        <w:jc w:val="both"/>
      </w:pPr>
      <w:r>
        <w:rPr>
          <w:rFonts w:ascii="Calibri" w:cs="Calibri" w:eastAsia="Calibri" w:hAnsi="Calibri"/>
          <w:sz w:val="21"/>
          <w:szCs w:val="21"/>
        </w:rPr>
        <w:t xml:space="preserve">KEEP THE DECISIONS LOG. One spreadsheet tab, one row per decision, with a date (Appendix A). This is the whole of what remains of the old integrity architecture. Log the decisions you later reversed as well — a log showing only what survived is a tidied story, and a reader who suspects tidying discounts all of it.</w:t>
      </w:r>
    </w:p>
    <w:p>
      <w:pPr>
        <w:pStyle w:val="ListParagraph"/>
        <w:numPr>
          <w:ilvl w:val="0"/>
          <w:numId w:val="2"/>
        </w:numPr>
        <w:spacing w:after="80" w:line="276"/>
        <w:jc w:val="both"/>
      </w:pPr>
      <w:r>
        <w:rPr>
          <w:rFonts w:ascii="Calibri" w:cs="Calibri" w:eastAsia="Calibri" w:hAnsi="Calibri"/>
          <w:sz w:val="21"/>
          <w:szCs w:val="21"/>
        </w:rPr>
        <w:t xml:space="preserve">FINISH THE INDEX BEFORE YOU COMPUTE IT ON YOUR SETTLEMENTS. Validate it on known-answer landscapes first (Stage 6). Not because a rule forbids the other order, but because once you have seen how a choice of weights scores your own sites you cannot un-see it, and every later adjustment gets pulled toward the flattering version without any intention on your part. This costs nothing: the validation landscapes are outside your sample, so adjusting against them cannot bias your comparison.</w:t>
      </w:r>
    </w:p>
    <w:p>
      <w:pPr>
        <w:pStyle w:val="ListParagraph"/>
        <w:numPr>
          <w:ilvl w:val="0"/>
          <w:numId w:val="2"/>
        </w:numPr>
        <w:spacing w:after="80" w:line="276"/>
        <w:jc w:val="both"/>
      </w:pPr>
      <w:r>
        <w:rPr>
          <w:rFonts w:ascii="Calibri" w:cs="Calibri" w:eastAsia="Calibri" w:hAnsi="Calibri"/>
          <w:sz w:val="21"/>
          <w:szCs w:val="21"/>
        </w:rPr>
        <w:t xml:space="preserve">ATTACH THE DETECTABLE DIFFERENCE TO EVERY NULL. One number, one sentence. "No difference, and I could have detected 0.22 standard deviations" is a finding. "No difference" alone is not, and a reader cannot tell the two apart.</w:t>
      </w:r>
    </w:p>
    <w:p>
      <w:pPr>
        <w:spacing w:after="60"/>
      </w:pPr>
    </w:p>
    <w:p>
      <w:pPr>
        <w:spacing w:after="120" w:line="276"/>
        <w:jc w:val="both"/>
      </w:pPr>
      <w:r>
        <w:rPr>
          <w:rFonts w:ascii="Calibri" w:cs="Calibri" w:eastAsia="Calibri" w:hAnsi="Calibri"/>
          <w:b w:val="false"/>
          <w:bCs w:val="false"/>
          <w:i w:val="false"/>
          <w:iCs w:val="false"/>
          <w:color w:val="000000"/>
          <w:sz w:val="21"/>
          <w:szCs w:val="21"/>
        </w:rPr>
        <w:t xml:space="preserve">That is the entire remaining discipline. Three things.</w:t>
      </w:r>
    </w:p>
    <w:p>
      <w:pPr>
        <w:pStyle w:val="Heading2"/>
        <w:spacing w:after="130" w:before="280"/>
      </w:pPr>
      <w:r>
        <w:rPr>
          <w:rFonts w:ascii="Calibri" w:cs="Calibri" w:eastAsia="Calibri" w:hAnsi="Calibri"/>
          <w:b/>
          <w:bCs/>
          <w:color w:val="2E5496"/>
          <w:sz w:val="25"/>
          <w:szCs w:val="25"/>
        </w:rPr>
        <w:t xml:space="preserve">0.11  How this document is organised</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1800"/>
        <w:gridCol w:w="7220"/>
      </w:tblGrid>
      <w:tr>
        <w:trPr>
          <w:tblHeader/>
        </w:trPr>
        <w:tc>
          <w:tcPr>
            <w:tcW w:type="dxa" w:w="18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Part</w:t>
            </w:r>
          </w:p>
        </w:tc>
        <w:tc>
          <w:tcPr>
            <w:tcW w:type="dxa" w:w="72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What it is for</w:t>
            </w:r>
          </w:p>
        </w:tc>
      </w:tr>
      <w:tr>
        <w:tc>
          <w:tcPr>
            <w:tcW w:type="dxa" w:w="1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Part 1</w:t>
            </w:r>
          </w:p>
        </w:tc>
        <w:tc>
          <w:tcPr>
            <w:tcW w:type="dxa" w:w="72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study in three pages. Read once; return whenever you lose the thread.</w:t>
            </w:r>
          </w:p>
        </w:tc>
      </w:tr>
      <w:tr>
        <w:tc>
          <w:tcPr>
            <w:tcW w:type="dxa" w:w="1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Part 2</w:t>
            </w:r>
          </w:p>
        </w:tc>
        <w:tc>
          <w:tcPr>
            <w:tcW w:type="dxa" w:w="72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What you already have, and what you still need to produce.</w:t>
            </w:r>
          </w:p>
        </w:tc>
      </w:tr>
      <w:tr>
        <w:tc>
          <w:tcPr>
            <w:tcW w:type="dxa" w:w="1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Part 3</w:t>
            </w:r>
          </w:p>
        </w:tc>
        <w:tc>
          <w:tcPr>
            <w:tcW w:type="dxa" w:w="72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VARIABLE REGISTER. Every variable in the study with its exact name, symbol, role, unit and source. Your reference sheet for the methods chapter and for setting up the analysis file.</w:t>
            </w:r>
          </w:p>
        </w:tc>
      </w:tr>
      <w:tr>
        <w:tc>
          <w:tcPr>
            <w:tcW w:type="dxa" w:w="1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Part 4</w:t>
            </w:r>
          </w:p>
        </w:tc>
        <w:tc>
          <w:tcPr>
            <w:tcW w:type="dxa" w:w="72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Every dataset with its Earth Engine asset identifier, and every quantity to extract.</w:t>
            </w:r>
          </w:p>
        </w:tc>
      </w:tr>
      <w:tr>
        <w:tc>
          <w:tcPr>
            <w:tcW w:type="dxa" w:w="1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Part 5</w:t>
            </w:r>
          </w:p>
        </w:tc>
        <w:tc>
          <w:tcPr>
            <w:tcW w:type="dxa" w:w="72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DATA PREPARATION. Masking, compositing, gap handling, quality screening, panel assembly, integrity checks, outliers, missing data. The longest part, and the one where studies usually go wrong.</w:t>
            </w:r>
          </w:p>
        </w:tc>
      </w:tr>
      <w:tr>
        <w:tc>
          <w:tcPr>
            <w:tcW w:type="dxa" w:w="1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Part 6</w:t>
            </w:r>
          </w:p>
        </w:tc>
        <w:tc>
          <w:tcPr>
            <w:tcW w:type="dxa" w:w="72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Reference levels, rescaling and index construction, with every formula written out.</w:t>
            </w:r>
          </w:p>
        </w:tc>
      </w:tr>
      <w:tr>
        <w:tc>
          <w:tcPr>
            <w:tcW w:type="dxa" w:w="1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Part 7</w:t>
            </w:r>
          </w:p>
        </w:tc>
        <w:tc>
          <w:tcPr>
            <w:tcW w:type="dxa" w:w="72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eight execution stages in order, each with what you need, what you do, what you produce and how to know you have finished.</w:t>
            </w:r>
          </w:p>
        </w:tc>
      </w:tr>
      <w:tr>
        <w:tc>
          <w:tcPr>
            <w:tcW w:type="dxa" w:w="1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Part 8</w:t>
            </w:r>
          </w:p>
        </w:tc>
        <w:tc>
          <w:tcPr>
            <w:tcW w:type="dxa" w:w="72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ANALYSES, each with a proper name and a specification, plus the per-community estimation step.</w:t>
            </w:r>
          </w:p>
        </w:tc>
      </w:tr>
      <w:tr>
        <w:tc>
          <w:tcPr>
            <w:tcW w:type="dxa" w:w="1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Part 9</w:t>
            </w:r>
          </w:p>
        </w:tc>
        <w:tc>
          <w:tcPr>
            <w:tcW w:type="dxa" w:w="72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SENSITIVITY, ROBUSTNESS AND PLACEBO CHECKS, each with a proper name.</w:t>
            </w:r>
          </w:p>
        </w:tc>
      </w:tr>
      <w:tr>
        <w:tc>
          <w:tcPr>
            <w:tcW w:type="dxa" w:w="1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Part 10</w:t>
            </w:r>
          </w:p>
        </w:tc>
        <w:tc>
          <w:tcPr>
            <w:tcW w:type="dxa" w:w="72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What to report, in what form, with the language rules — including the per-community results table.</w:t>
            </w:r>
          </w:p>
        </w:tc>
      </w:tr>
      <w:tr>
        <w:tc>
          <w:tcPr>
            <w:tcW w:type="dxa" w:w="1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Part 11</w:t>
            </w:r>
          </w:p>
        </w:tc>
        <w:tc>
          <w:tcPr>
            <w:tcW w:type="dxa" w:w="72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Timeline, risks and the decisions you will have to make.</w:t>
            </w:r>
          </w:p>
        </w:tc>
      </w:tr>
      <w:tr>
        <w:tc>
          <w:tcPr>
            <w:tcW w:type="dxa" w:w="1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Appendices</w:t>
            </w:r>
          </w:p>
        </w:tc>
        <w:tc>
          <w:tcPr>
            <w:tcW w:type="dxa" w:w="72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the decisions log. B: every formula in one place. C: glossary.</w:t>
            </w:r>
          </w:p>
        </w:tc>
      </w:tr>
    </w:tbl>
    <w:p>
      <w:r>
        <w:br w:type="page"/>
      </w:r>
    </w:p>
    <w:p>
      <w:pPr>
        <w:pStyle w:val="Heading1"/>
        <w:pBdr>
          <w:bottom w:val="single" w:color="1F3864" w:sz="12" w:space="6"/>
        </w:pBdr>
        <w:spacing w:after="200" w:before="400"/>
      </w:pPr>
      <w:r>
        <w:rPr>
          <w:rFonts w:ascii="Calibri" w:cs="Calibri" w:eastAsia="Calibri" w:hAnsi="Calibri"/>
          <w:b/>
          <w:bCs/>
          <w:color w:val="1F3864"/>
          <w:sz w:val="32"/>
          <w:szCs w:val="32"/>
        </w:rPr>
        <w:t xml:space="preserve">Part 1  ·  The study in three pages</w:t>
      </w:r>
    </w:p>
    <w:p>
      <w:pPr>
        <w:pStyle w:val="Heading2"/>
        <w:spacing w:after="130" w:before="280"/>
      </w:pPr>
      <w:r>
        <w:rPr>
          <w:rFonts w:ascii="Calibri" w:cs="Calibri" w:eastAsia="Calibri" w:hAnsi="Calibri"/>
          <w:b/>
          <w:bCs/>
          <w:color w:val="2E5496"/>
          <w:sz w:val="25"/>
          <w:szCs w:val="25"/>
        </w:rPr>
        <w:t xml:space="preserve">1.1  The question</w:t>
      </w:r>
    </w:p>
    <w:p>
      <w:pPr>
        <w:spacing w:after="120" w:line="276"/>
        <w:jc w:val="both"/>
      </w:pPr>
      <w:r>
        <w:rPr>
          <w:rFonts w:ascii="Calibri" w:cs="Calibri" w:eastAsia="Calibri" w:hAnsi="Calibri"/>
          <w:b/>
          <w:bCs/>
          <w:i w:val="false"/>
          <w:iCs w:val="false"/>
          <w:color w:val="000000"/>
          <w:sz w:val="21"/>
          <w:szCs w:val="21"/>
        </w:rPr>
        <w:t xml:space="preserve">Do intentional sustainable settlements hold their land in better ecological condition than comparable conventional villages nearby, without producing less from it?</w:t>
      </w:r>
    </w:p>
    <w:p>
      <w:pPr>
        <w:spacing w:after="120" w:line="276"/>
        <w:jc w:val="both"/>
      </w:pPr>
      <w:r>
        <w:rPr>
          <w:rFonts w:ascii="Calibri" w:cs="Calibri" w:eastAsia="Calibri" w:hAnsi="Calibri"/>
          <w:b w:val="false"/>
          <w:bCs w:val="false"/>
          <w:i w:val="false"/>
          <w:iCs w:val="false"/>
          <w:color w:val="000000"/>
          <w:sz w:val="21"/>
          <w:szCs w:val="21"/>
        </w:rPr>
        <w:t xml:space="preserve">Ordinarily those two things trade against each other. Land worked hard for output loses structural complexity, year-round cover and spatial variety; land left alone keeps them and yields little that people can use. Permaculture, agroecology and regenerative agriculture all claim that a landscape can be designed to deliver both at once. This study tests that claim from orbit, on 212 communities across roughly sixty countries.</w:t>
      </w:r>
    </w:p>
    <w:p>
      <w:pPr>
        <w:pStyle w:val="Heading2"/>
        <w:spacing w:after="130" w:before="280"/>
      </w:pPr>
      <w:r>
        <w:rPr>
          <w:rFonts w:ascii="Calibri" w:cs="Calibri" w:eastAsia="Calibri" w:hAnsi="Calibri"/>
          <w:b/>
          <w:bCs/>
          <w:color w:val="2E5496"/>
          <w:sz w:val="25"/>
          <w:szCs w:val="25"/>
        </w:rPr>
        <w:t xml:space="preserve">1.2  The design in one paragraph</w:t>
      </w:r>
    </w:p>
    <w:p>
      <w:pPr>
        <w:spacing w:after="120" w:line="276"/>
        <w:jc w:val="both"/>
      </w:pPr>
      <w:r>
        <w:rPr>
          <w:rFonts w:ascii="Calibri" w:cs="Calibri" w:eastAsia="Calibri" w:hAnsi="Calibri"/>
          <w:b w:val="false"/>
          <w:bCs w:val="false"/>
          <w:i w:val="false"/>
          <w:iCs w:val="false"/>
          <w:color w:val="000000"/>
          <w:sz w:val="21"/>
          <w:szCs w:val="21"/>
        </w:rPr>
        <w:t xml:space="preserve">Each of 212 intentional settlements is compared against three conventional villages matched to it on climate, biome, terrain, elevation, accessibility, tree cover, population and country. Vegetation is measured over a 150 metre radius around each settlement centre, from Sentinel-2 imagery across seven years. Every measurement is expressed as a proportion of what is attainable in that environment, using reference sites drawn from the same climate and biome. Each settlement is then compared with its own three controls, so that climate, region and landscape cancel out of the comparison.</w:t>
      </w:r>
    </w:p>
    <w:p>
      <w:pPr>
        <w:pStyle w:val="Heading2"/>
        <w:spacing w:after="130" w:before="280"/>
      </w:pPr>
      <w:r>
        <w:rPr>
          <w:rFonts w:ascii="Calibri" w:cs="Calibri" w:eastAsia="Calibri" w:hAnsi="Calibri"/>
          <w:b/>
          <w:bCs/>
          <w:color w:val="2E5496"/>
          <w:sz w:val="25"/>
          <w:szCs w:val="25"/>
        </w:rPr>
        <w:t xml:space="preserve">1.3  Objectives</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700"/>
        <w:gridCol w:w="3200"/>
        <w:gridCol w:w="5120"/>
      </w:tblGrid>
      <w:tr>
        <w:trPr>
          <w:tblHeader/>
        </w:trPr>
        <w:tc>
          <w:tcPr>
            <w:tcW w:type="dxa" w:w="7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c>
          <w:tcPr>
            <w:tcW w:type="dxa" w:w="32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Objective</w:t>
            </w:r>
          </w:p>
        </w:tc>
        <w:tc>
          <w:tcPr>
            <w:tcW w:type="dxa" w:w="51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Delivered by</w:t>
            </w:r>
          </w:p>
        </w:tc>
      </w:tr>
      <w:tr>
        <w:tc>
          <w:tcPr>
            <w:tcW w:type="dxa" w:w="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O1</w:t>
            </w:r>
          </w:p>
        </w:tc>
        <w:tc>
          <w:tcPr>
            <w:tcW w:type="dxa" w:w="3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Determine whether intentional settlements hold land in better vegetation condition than matched conventional villages</w:t>
            </w:r>
          </w:p>
        </w:tc>
        <w:tc>
          <w:tcPr>
            <w:tcW w:type="dxa" w:w="51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Analysis A1 (H1)</w:t>
            </w:r>
          </w:p>
        </w:tc>
      </w:tr>
      <w:tr>
        <w:tc>
          <w:tcPr>
            <w:tcW w:type="dxa" w:w="7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O2</w:t>
            </w:r>
          </w:p>
        </w:tc>
        <w:tc>
          <w:tcPr>
            <w:tcW w:type="dxa" w:w="3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Determine whether any such advantage comes at the cost of reduced provisioning capacity</w:t>
            </w:r>
          </w:p>
        </w:tc>
        <w:tc>
          <w:tcPr>
            <w:tcW w:type="dxa" w:w="51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Analysis A2 (H2)</w:t>
            </w:r>
          </w:p>
        </w:tc>
      </w:tr>
      <w:tr>
        <w:tc>
          <w:tcPr>
            <w:tcW w:type="dxa" w:w="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O3</w:t>
            </w:r>
          </w:p>
        </w:tc>
        <w:tc>
          <w:tcPr>
            <w:tcW w:type="dxa" w:w="3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Establish whether the pattern is spatially and temporally consistent with management rather than with site selection</w:t>
            </w:r>
          </w:p>
        </w:tc>
        <w:tc>
          <w:tcPr>
            <w:tcW w:type="dxa" w:w="51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Analyses A3 and A4 (H3, H4)</w:t>
            </w:r>
          </w:p>
        </w:tc>
      </w:tr>
      <w:tr>
        <w:tc>
          <w:tcPr>
            <w:tcW w:type="dxa" w:w="7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O4</w:t>
            </w:r>
          </w:p>
        </w:tc>
        <w:tc>
          <w:tcPr>
            <w:tcW w:type="dxa" w:w="3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Establish whether the pattern survives when only traces of practice are used</w:t>
            </w:r>
          </w:p>
        </w:tc>
        <w:tc>
          <w:tcPr>
            <w:tcW w:type="dxa" w:w="51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Analysis A5 (H5)</w:t>
            </w:r>
          </w:p>
        </w:tc>
      </w:tr>
      <w:tr>
        <w:tc>
          <w:tcPr>
            <w:tcW w:type="dxa" w:w="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O5</w:t>
            </w:r>
          </w:p>
        </w:tc>
        <w:tc>
          <w:tcPr>
            <w:tcW w:type="dxa" w:w="3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Determine whether communities that claim an ecological practice display the signature that practice predicts</w:t>
            </w:r>
          </w:p>
        </w:tc>
        <w:tc>
          <w:tcPr>
            <w:tcW w:type="dxa" w:w="51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Analysis A6 (H6)</w:t>
            </w:r>
          </w:p>
        </w:tc>
      </w:tr>
      <w:tr>
        <w:tc>
          <w:tcPr>
            <w:tcW w:type="dxa" w:w="7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O6</w:t>
            </w:r>
          </w:p>
        </w:tc>
        <w:tc>
          <w:tcPr>
            <w:tcW w:type="dxa" w:w="3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Rule out settlement density as an alternative explanation</w:t>
            </w:r>
          </w:p>
        </w:tc>
        <w:tc>
          <w:tcPr>
            <w:tcW w:type="dxa" w:w="51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Analysis A7 (H7)</w:t>
            </w:r>
          </w:p>
        </w:tc>
      </w:tr>
      <w:tr>
        <w:tc>
          <w:tcPr>
            <w:tcW w:type="dxa" w:w="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O7</w:t>
            </w:r>
          </w:p>
        </w:tc>
        <w:tc>
          <w:tcPr>
            <w:tcW w:type="dxa" w:w="3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Produce a reference-anchored, globally comparable measure of vegetation condition usable beyond this study</w:t>
            </w:r>
          </w:p>
        </w:tc>
        <w:tc>
          <w:tcPr>
            <w:tcW w:type="dxa" w:w="51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Part 6 and the validation in Stage 6</w:t>
            </w:r>
          </w:p>
        </w:tc>
      </w:tr>
      <w:tr>
        <w:tc>
          <w:tcPr>
            <w:tcW w:type="dxa" w:w="7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O8</w:t>
            </w:r>
          </w:p>
        </w:tc>
        <w:tc>
          <w:tcPr>
            <w:tcW w:type="dxa" w:w="3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Test directly whether vegetation condition CHANGES after intervention begins, on communities where the land can be observed before and after</w:t>
            </w:r>
          </w:p>
        </w:tc>
        <w:tc>
          <w:tcPr>
            <w:tcW w:type="dxa" w:w="51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Analysis A8 (H8) — the longitudinal cohort</w:t>
            </w:r>
          </w:p>
        </w:tc>
      </w:tr>
      <w:tr>
        <w:tc>
          <w:tcPr>
            <w:tcW w:type="dxa" w:w="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O9</w:t>
            </w:r>
          </w:p>
        </w:tc>
        <w:tc>
          <w:tcPr>
            <w:tcW w:type="dxa" w:w="3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Establish whether community SIZE changes how well land is held, beyond what measurement dilution alone predicts</w:t>
            </w:r>
          </w:p>
        </w:tc>
        <w:tc>
          <w:tcPr>
            <w:tcW w:type="dxa" w:w="51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Analysis A9 (H9) — the size gradient</w:t>
            </w:r>
          </w:p>
        </w:tc>
      </w:tr>
    </w:tbl>
    <w:p>
      <w:pPr>
        <w:spacing w:after="140"/>
      </w:pPr>
    </w:p>
    <w:p>
      <w:pPr>
        <w:pStyle w:val="Heading2"/>
        <w:spacing w:after="130" w:before="280"/>
      </w:pPr>
      <w:r>
        <w:rPr>
          <w:rFonts w:ascii="Calibri" w:cs="Calibri" w:eastAsia="Calibri" w:hAnsi="Calibri"/>
          <w:b/>
          <w:bCs/>
          <w:color w:val="2E5496"/>
          <w:sz w:val="25"/>
          <w:szCs w:val="25"/>
        </w:rPr>
        <w:t xml:space="preserve">1.4  The nine hypotheses</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600"/>
        <w:gridCol w:w="3300"/>
        <w:gridCol w:w="1400"/>
        <w:gridCol w:w="3720"/>
      </w:tblGrid>
      <w:tr>
        <w:trPr>
          <w:tblHeader/>
        </w:trPr>
        <w:tc>
          <w:tcPr>
            <w:tcW w:type="dxa" w:w="6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c>
          <w:tcPr>
            <w:tcW w:type="dxa" w:w="33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Hypothesis</w:t>
            </w:r>
          </w:p>
        </w:tc>
        <w:tc>
          <w:tcPr>
            <w:tcW w:type="dxa" w:w="14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Status</w:t>
            </w:r>
          </w:p>
        </w:tc>
        <w:tc>
          <w:tcPr>
            <w:tcW w:type="dxa" w:w="37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What it needs</w:t>
            </w:r>
          </w:p>
        </w:tc>
      </w:tr>
      <w:tr>
        <w:tc>
          <w:tcPr>
            <w:tcW w:type="dxa" w:w="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H1</w:t>
            </w:r>
          </w:p>
        </w:tc>
        <w:tc>
          <w:tcPr>
            <w:tcW w:type="dxa" w:w="33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Settlements score HIGHER than their matched controls on vegetation condition</w:t>
            </w:r>
          </w:p>
        </w:tc>
        <w:tc>
          <w:tcPr>
            <w:tcW w:type="dxa" w:w="1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PRIMARY</w:t>
            </w:r>
          </w:p>
        </w:tc>
        <w:tc>
          <w:tcPr>
            <w:tcW w:type="dxa" w:w="37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index and the matched comparison</w:t>
            </w:r>
          </w:p>
        </w:tc>
      </w:tr>
      <w:tr>
        <w:tc>
          <w:tcPr>
            <w:tcW w:type="dxa" w:w="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H2</w:t>
            </w:r>
          </w:p>
        </w:tc>
        <w:tc>
          <w:tcPr>
            <w:tcW w:type="dxa" w:w="33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Settlements are NOT LOWER than their controls on provisioning capacity, within a declared margin</w:t>
            </w:r>
          </w:p>
        </w:tc>
        <w:tc>
          <w:tcPr>
            <w:tcW w:type="dxa" w:w="1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PRIMARY</w:t>
            </w:r>
          </w:p>
        </w:tc>
        <w:tc>
          <w:tcPr>
            <w:tcW w:type="dxa" w:w="37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same data, second outcome, equivalence test</w:t>
            </w:r>
          </w:p>
        </w:tc>
      </w:tr>
      <w:tr>
        <w:tc>
          <w:tcPr>
            <w:tcW w:type="dxa" w:w="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H3</w:t>
            </w:r>
          </w:p>
        </w:tc>
        <w:tc>
          <w:tcPr>
            <w:tcW w:type="dxa" w:w="33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settlement advantage is larger near the centre and smaller further out</w:t>
            </w:r>
          </w:p>
        </w:tc>
        <w:tc>
          <w:tcPr>
            <w:tcW w:type="dxa" w:w="1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Secondary</w:t>
            </w:r>
          </w:p>
        </w:tc>
        <w:tc>
          <w:tcPr>
            <w:tcW w:type="dxa" w:w="37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rings — no extra data</w:t>
            </w:r>
          </w:p>
        </w:tc>
      </w:tr>
      <w:tr>
        <w:tc>
          <w:tcPr>
            <w:tcW w:type="dxa" w:w="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H4</w:t>
            </w:r>
          </w:p>
        </w:tc>
        <w:tc>
          <w:tcPr>
            <w:tcW w:type="dxa" w:w="33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advantage is larger at settlements that began intervening longer ago</w:t>
            </w:r>
          </w:p>
        </w:tc>
        <w:tc>
          <w:tcPr>
            <w:tcW w:type="dxa" w:w="1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Secondary</w:t>
            </w:r>
          </w:p>
        </w:tc>
        <w:tc>
          <w:tcPr>
            <w:tcW w:type="dxa" w:w="37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Onset dates from documentary coding</w:t>
            </w:r>
          </w:p>
        </w:tc>
      </w:tr>
      <w:tr>
        <w:tc>
          <w:tcPr>
            <w:tcW w:type="dxa" w:w="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H5</w:t>
            </w:r>
          </w:p>
        </w:tc>
        <w:tc>
          <w:tcPr>
            <w:tcW w:type="dxa" w:w="33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advantage holds when only management-diagnostic metrics are used</w:t>
            </w:r>
          </w:p>
        </w:tc>
        <w:tc>
          <w:tcPr>
            <w:tcW w:type="dxa" w:w="1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Secondary</w:t>
            </w:r>
          </w:p>
        </w:tc>
        <w:tc>
          <w:tcPr>
            <w:tcW w:type="dxa" w:w="37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subset of the same metrics</w:t>
            </w:r>
          </w:p>
        </w:tc>
      </w:tr>
      <w:tr>
        <w:tc>
          <w:tcPr>
            <w:tcW w:type="dxa" w:w="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H6</w:t>
            </w:r>
          </w:p>
        </w:tc>
        <w:tc>
          <w:tcPr>
            <w:tcW w:type="dxa" w:w="33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Communities claiming a practice show the signature that practice predicts</w:t>
            </w:r>
          </w:p>
        </w:tc>
        <w:tc>
          <w:tcPr>
            <w:tcW w:type="dxa" w:w="1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Secondary</w:t>
            </w:r>
          </w:p>
        </w:tc>
        <w:tc>
          <w:tcPr>
            <w:tcW w:type="dxa" w:w="37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Practice codes from documentary coding</w:t>
            </w:r>
          </w:p>
        </w:tc>
      </w:tr>
      <w:tr>
        <w:tc>
          <w:tcPr>
            <w:tcW w:type="dxa" w:w="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H7</w:t>
            </w:r>
          </w:p>
        </w:tc>
        <w:tc>
          <w:tcPr>
            <w:tcW w:type="dxa" w:w="33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advantage is not explained by low settlement density alone</w:t>
            </w:r>
          </w:p>
        </w:tc>
        <w:tc>
          <w:tcPr>
            <w:tcW w:type="dxa" w:w="1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Secondary</w:t>
            </w:r>
          </w:p>
        </w:tc>
        <w:tc>
          <w:tcPr>
            <w:tcW w:type="dxa" w:w="37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Held-out semi-urban reference sites</w:t>
            </w:r>
          </w:p>
        </w:tc>
      </w:tr>
      <w:tr>
        <w:tc>
          <w:tcPr>
            <w:tcW w:type="dxa" w:w="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H8</w:t>
            </w:r>
          </w:p>
        </w:tc>
        <w:tc>
          <w:tcPr>
            <w:tcW w:type="dxa" w:w="33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Among communities whose work began in 2020–2021, vegetation condition IMPROVES over the four years after onset relative to matched controls, with no divergence in the three years BEFORE onset</w:t>
            </w:r>
          </w:p>
        </w:tc>
        <w:tc>
          <w:tcPr>
            <w:tcW w:type="dxa" w:w="1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Secondary, and the study’s only longitudinal test</w:t>
            </w:r>
          </w:p>
        </w:tc>
        <w:tc>
          <w:tcPr>
            <w:tcW w:type="dxa" w:w="37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separate cohort of ~65 communities, extraction back to 2017</w:t>
            </w:r>
          </w:p>
        </w:tc>
      </w:tr>
      <w:tr>
        <w:tc>
          <w:tcPr>
            <w:tcW w:type="dxa" w:w="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H9</w:t>
            </w:r>
          </w:p>
        </w:tc>
        <w:tc>
          <w:tcPr>
            <w:tcW w:type="dxa" w:w="33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settlement advantage varies with how much land a community works, BEYOND what measurement dilution alone predicts</w:t>
            </w:r>
          </w:p>
        </w:tc>
        <w:tc>
          <w:tcPr>
            <w:tcW w:type="dxa" w:w="1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Secondary</w:t>
            </w:r>
          </w:p>
        </w:tc>
        <w:tc>
          <w:tcPr>
            <w:tcW w:type="dxa" w:w="37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Coded managed area, and the common 150 m zone</w:t>
            </w:r>
          </w:p>
        </w:tc>
      </w:tr>
    </w:tbl>
    <w:p>
      <w:pPr>
        <w:spacing w:after="120"/>
      </w:pPr>
    </w:p>
    <w:p>
      <w:pPr>
        <w:spacing w:after="120" w:line="276"/>
        <w:jc w:val="both"/>
      </w:pPr>
      <w:r>
        <w:rPr>
          <w:rFonts w:ascii="Calibri" w:cs="Calibri" w:eastAsia="Calibri" w:hAnsi="Calibri"/>
          <w:b w:val="false"/>
          <w:bCs w:val="false"/>
          <w:i w:val="false"/>
          <w:iCs w:val="false"/>
          <w:color w:val="000000"/>
          <w:sz w:val="21"/>
          <w:szCs w:val="21"/>
        </w:rPr>
        <w:t xml:space="preserve">H1 and H2 together are the trade-off claim: higher on one, not lower on the other. H3 and H4 are the two arguments against the objection that these communities simply bought good land. H5 strengthens that further. H6 is the novel claims-versus-delivery question. H7 rules out the most obvious alternative explanation. H8 is different in kind from all of them — it is the only test in the study that observes the land before the intervention, and the only one whose identifying assumption can be checked rather than argued. H9 asks whether size itself matters, against a null that predicts a size relationship even when management quality is identical.</w:t>
      </w:r>
    </w:p>
    <w:p>
      <w:pPr>
        <w:pStyle w:val="Heading2"/>
        <w:spacing w:after="130" w:before="280"/>
      </w:pPr>
      <w:r>
        <w:rPr>
          <w:rFonts w:ascii="Calibri" w:cs="Calibri" w:eastAsia="Calibri" w:hAnsi="Calibri"/>
          <w:b/>
          <w:bCs/>
          <w:color w:val="2E5496"/>
          <w:sz w:val="25"/>
          <w:szCs w:val="25"/>
        </w:rPr>
        <w:t xml:space="preserve">1.5  What would count against the claim</w:t>
      </w:r>
    </w:p>
    <w:p>
      <w:pPr>
        <w:spacing w:after="120" w:line="276"/>
        <w:jc w:val="both"/>
      </w:pPr>
      <w:r>
        <w:rPr>
          <w:rFonts w:ascii="Calibri" w:cs="Calibri" w:eastAsia="Calibri" w:hAnsi="Calibri"/>
          <w:b w:val="false"/>
          <w:bCs w:val="false"/>
          <w:i w:val="false"/>
          <w:iCs w:val="false"/>
          <w:color w:val="000000"/>
          <w:sz w:val="21"/>
          <w:szCs w:val="21"/>
        </w:rPr>
        <w:t xml:space="preserve">Write these down now, so that a disappointing result is a finding rather than a disappointment.</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800"/>
        <w:gridCol w:w="6220"/>
      </w:tblGrid>
      <w:tr>
        <w:trPr>
          <w:tblHeader/>
        </w:trPr>
        <w:tc>
          <w:tcPr>
            <w:tcW w:type="dxa" w:w="28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Result</w:t>
            </w:r>
          </w:p>
        </w:tc>
        <w:tc>
          <w:tcPr>
            <w:tcW w:type="dxa" w:w="62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What it means</w:t>
            </w:r>
          </w:p>
        </w:tc>
      </w:tr>
      <w:tr>
        <w:tc>
          <w:tcPr>
            <w:tcW w:type="dxa" w:w="2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H1 null, with a detectable difference of 0.30 SD or better</w:t>
            </w:r>
          </w:p>
        </w:tc>
        <w:tc>
          <w:tcPr>
            <w:tcW w:type="dxa" w:w="62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real negative finding: settlements are not distinguishable from their neighbours at this scale. Publishable, and worth publishing — nobody has established it.</w:t>
            </w:r>
          </w:p>
        </w:tc>
      </w:tr>
      <w:tr>
        <w:tc>
          <w:tcPr>
            <w:tcW w:type="dxa" w:w="2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H1 supported, H2 shows a genuine decline</w:t>
            </w:r>
          </w:p>
        </w:tc>
        <w:tc>
          <w:tcPr>
            <w:tcW w:type="dxa" w:w="62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They achieve condition by producing less. That is not breaking the trade-off; it is accepting it. Report it as such — it is still a finding.</w:t>
            </w:r>
          </w:p>
        </w:tc>
      </w:tr>
      <w:tr>
        <w:tc>
          <w:tcPr>
            <w:tcW w:type="dxa" w:w="2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H1 supported, H5 null</w:t>
            </w:r>
          </w:p>
        </w:tc>
        <w:tc>
          <w:tcPr>
            <w:tcW w:type="dxa" w:w="62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advantage sits in quantities a community could have inherited with the land. Consistent with having chosen good sites.</w:t>
            </w:r>
          </w:p>
        </w:tc>
      </w:tr>
      <w:tr>
        <w:tc>
          <w:tcPr>
            <w:tcW w:type="dxa" w:w="2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H3 flat</w:t>
            </w:r>
          </w:p>
        </w:tc>
        <w:tc>
          <w:tcPr>
            <w:tcW w:type="dxa" w:w="62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No spatial signature radiating from the settlement. Weakens the management explanation considerably.</w:t>
            </w:r>
          </w:p>
        </w:tc>
      </w:tr>
      <w:tr>
        <w:tc>
          <w:tcPr>
            <w:tcW w:type="dxa" w:w="2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H4 flat</w:t>
            </w:r>
          </w:p>
        </w:tc>
        <w:tc>
          <w:tcPr>
            <w:tcW w:type="dxa" w:w="62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Removes the strongest argument against site selection. Land does not know how old its community is, so a flat age relationship is exactly what site selection predicts.</w:t>
            </w:r>
          </w:p>
        </w:tc>
      </w:tr>
      <w:tr>
        <w:tc>
          <w:tcPr>
            <w:tcW w:type="dxa" w:w="2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H7 settlements indistinguishable from density-matched semi-urban sites</w:t>
            </w:r>
          </w:p>
        </w:tc>
        <w:tc>
          <w:tcPr>
            <w:tcW w:type="dxa" w:w="62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What you measured is low density, not intentional design.</w:t>
            </w:r>
          </w:p>
        </w:tc>
      </w:tr>
      <w:tr>
        <w:tc>
          <w:tcPr>
            <w:tcW w:type="dxa" w:w="2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H8 shows PRE-ONSET divergence</w:t>
            </w:r>
          </w:p>
        </w:tc>
        <w:tc>
          <w:tcPr>
            <w:tcW w:type="dxa" w:w="62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most damaging result available. Settlements and controls were already separating before the intervention began, which means the cross-sectional difference cannot be attributed to management. Report it prominently — this is the study working correctly.</w:t>
            </w:r>
          </w:p>
        </w:tc>
      </w:tr>
      <w:tr>
        <w:tc>
          <w:tcPr>
            <w:tcW w:type="dxa" w:w="2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H8 null with no pre-onset divergence</w:t>
            </w:r>
          </w:p>
        </w:tc>
        <w:tc>
          <w:tcPr>
            <w:tcW w:type="dxa" w:w="62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Four years is too short for the effect to emerge, OR there is no effect. Distinguishable only by the detectable difference reported alongside. This does NOT undermine H1: the two answer different questions (§8.10).</w:t>
            </w:r>
          </w:p>
        </w:tc>
      </w:tr>
      <w:tr>
        <w:tc>
          <w:tcPr>
            <w:tcW w:type="dxa" w:w="2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H9 follows the dilution curve exactly</w:t>
            </w:r>
          </w:p>
        </w:tc>
        <w:tc>
          <w:tcPr>
            <w:tcW w:type="dxa" w:w="62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Management quality is size-INDEPENDENT: small communities work their land as well as large ones, and the smaller measured effect is purely a measurement artefact. A clean and useful finding.</w:t>
            </w:r>
          </w:p>
        </w:tc>
      </w:tr>
      <w:tr>
        <w:tc>
          <w:tcPr>
            <w:tcW w:type="dxa" w:w="2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H9 rises FASTER than dilution predicts</w:t>
            </w:r>
          </w:p>
        </w:tc>
        <w:tc>
          <w:tcPr>
            <w:tcW w:type="dxa" w:w="62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Larger communities hold their land better per hectare. Report it, and check it is not the age gradient in disguise — larger communities are usually older.</w:t>
            </w:r>
          </w:p>
        </w:tc>
      </w:tr>
      <w:tr>
        <w:tc>
          <w:tcPr>
            <w:tcW w:type="dxa" w:w="2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H9 is FLATTER than dilution predicts</w:t>
            </w:r>
          </w:p>
        </w:tc>
        <w:tc>
          <w:tcPr>
            <w:tcW w:type="dxa" w:w="62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Smaller communities do better per hectare, consistent with concentrated effort on a small area. This would be the most interesting of the three outcomes and the least expected.</w:t>
            </w:r>
          </w:p>
        </w:tc>
      </w:tr>
      <w:tr>
        <w:tc>
          <w:tcPr>
            <w:tcW w:type="dxa" w:w="2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Placebo test PL1 returns a difference</w:t>
            </w:r>
          </w:p>
        </w:tc>
        <w:tc>
          <w:tcPr>
            <w:tcW w:type="dxa" w:w="62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STOP. The pipeline is finding differences between arbitrarily labelled comparable villages, and nothing downstream can be trusted until it is understood.</w:t>
            </w:r>
          </w:p>
        </w:tc>
      </w:tr>
    </w:tbl>
    <w:p>
      <w:pPr>
        <w:spacing w:after="140"/>
      </w:pPr>
    </w:p>
    <w:p>
      <w:pPr>
        <w:pStyle w:val="Heading2"/>
        <w:spacing w:after="130" w:before="280"/>
      </w:pPr>
      <w:r>
        <w:rPr>
          <w:rFonts w:ascii="Calibri" w:cs="Calibri" w:eastAsia="Calibri" w:hAnsi="Calibri"/>
          <w:b/>
          <w:bCs/>
          <w:color w:val="2E5496"/>
          <w:sz w:val="25"/>
          <w:szCs w:val="25"/>
        </w:rPr>
        <w:t xml:space="preserve">1.6  What the study measures, and what it does not</w:t>
      </w:r>
    </w:p>
    <w:p>
      <w:pPr>
        <w:spacing w:after="120" w:line="276"/>
        <w:jc w:val="both"/>
      </w:pPr>
      <w:r>
        <w:rPr>
          <w:rFonts w:ascii="Calibri" w:cs="Calibri" w:eastAsia="Calibri" w:hAnsi="Calibri"/>
          <w:b/>
          <w:bCs/>
          <w:i w:val="false"/>
          <w:iCs w:val="false"/>
          <w:color w:val="000000"/>
          <w:sz w:val="21"/>
          <w:szCs w:val="21"/>
        </w:rPr>
        <w:t xml:space="preserve">It measures: </w:t>
      </w:r>
      <w:r>
        <w:rPr>
          <w:rFonts w:ascii="Calibri" w:cs="Calibri" w:eastAsia="Calibri" w:hAnsi="Calibri"/>
          <w:b w:val="false"/>
          <w:bCs w:val="false"/>
          <w:i w:val="false"/>
          <w:iCs w:val="false"/>
          <w:color w:val="000000"/>
          <w:sz w:val="21"/>
          <w:szCs w:val="21"/>
        </w:rPr>
        <w:t xml:space="preserve">vegetation condition — how structurally complex, year-round persistent, spatially varied and stable the vegetation is, relative to what that location can support.</w:t>
      </w:r>
    </w:p>
    <w:p>
      <w:pPr>
        <w:pStyle w:val="ListParagraph"/>
        <w:numPr>
          <w:ilvl w:val="0"/>
          <w:numId w:val="3"/>
        </w:numPr>
        <w:spacing w:after="80" w:line="276"/>
        <w:jc w:val="both"/>
      </w:pPr>
      <w:r>
        <w:rPr>
          <w:rFonts w:ascii="Calibri" w:cs="Calibri" w:eastAsia="Calibri" w:hAnsi="Calibri"/>
          <w:b/>
          <w:bCs/>
          <w:i w:val="false"/>
          <w:iCs w:val="false"/>
          <w:sz w:val="21"/>
          <w:szCs w:val="21"/>
        </w:rPr>
        <w:t xml:space="preserve">NOT ecosystem health. </w:t>
      </w:r>
      <w:r>
        <w:rPr>
          <w:rFonts w:ascii="Calibri" w:cs="Calibri" w:eastAsia="Calibri" w:hAnsi="Calibri"/>
          <w:b w:val="false"/>
          <w:bCs w:val="false"/>
          <w:i w:val="false"/>
          <w:iCs w:val="false"/>
          <w:sz w:val="21"/>
          <w:szCs w:val="21"/>
        </w:rPr>
        <w:t xml:space="preserve">Soil biology, water flux, animals and species composition are not observed at all. Write "vegetation condition" throughout.</w:t>
      </w:r>
    </w:p>
    <w:p>
      <w:pPr>
        <w:pStyle w:val="ListParagraph"/>
        <w:numPr>
          <w:ilvl w:val="0"/>
          <w:numId w:val="3"/>
        </w:numPr>
        <w:spacing w:after="80" w:line="276"/>
        <w:jc w:val="both"/>
      </w:pPr>
      <w:r>
        <w:rPr>
          <w:rFonts w:ascii="Calibri" w:cs="Calibri" w:eastAsia="Calibri" w:hAnsi="Calibri"/>
          <w:b/>
          <w:bCs/>
          <w:i w:val="false"/>
          <w:iCs w:val="false"/>
          <w:sz w:val="21"/>
          <w:szCs w:val="21"/>
        </w:rPr>
        <w:t xml:space="preserve">NOT biodiversity. </w:t>
      </w:r>
      <w:r>
        <w:rPr>
          <w:rFonts w:ascii="Calibri" w:cs="Calibri" w:eastAsia="Calibri" w:hAnsi="Calibri"/>
          <w:b w:val="false"/>
          <w:bCs w:val="false"/>
          <w:i w:val="false"/>
          <w:iCs w:val="false"/>
          <w:sz w:val="21"/>
          <w:szCs w:val="21"/>
        </w:rPr>
        <w:t xml:space="preserve">Spectral variety is an indirect indicator only. Make no species-level claim anywhere.</w:t>
      </w:r>
    </w:p>
    <w:p>
      <w:pPr>
        <w:pStyle w:val="ListParagraph"/>
        <w:numPr>
          <w:ilvl w:val="0"/>
          <w:numId w:val="3"/>
        </w:numPr>
        <w:spacing w:after="80" w:line="276"/>
        <w:jc w:val="both"/>
      </w:pPr>
      <w:r>
        <w:rPr>
          <w:rFonts w:ascii="Calibri" w:cs="Calibri" w:eastAsia="Calibri" w:hAnsi="Calibri"/>
          <w:b/>
          <w:bCs/>
          <w:i w:val="false"/>
          <w:iCs w:val="false"/>
          <w:sz w:val="21"/>
          <w:szCs w:val="21"/>
        </w:rPr>
        <w:t xml:space="preserve">NOT yield. </w:t>
      </w:r>
      <w:r>
        <w:rPr>
          <w:rFonts w:ascii="Calibri" w:cs="Calibri" w:eastAsia="Calibri" w:hAnsi="Calibri"/>
          <w:b w:val="false"/>
          <w:bCs w:val="false"/>
          <w:i w:val="false"/>
          <w:iCs w:val="false"/>
          <w:sz w:val="21"/>
          <w:szCs w:val="21"/>
        </w:rPr>
        <w:t xml:space="preserve">Provisioning capacity is captured photosynthetic potential on productive land, not tonnes or calories. A community eating everything it grows scores the same as one exporting everything.</w:t>
      </w:r>
    </w:p>
    <w:p>
      <w:pPr>
        <w:pStyle w:val="ListParagraph"/>
        <w:numPr>
          <w:ilvl w:val="0"/>
          <w:numId w:val="3"/>
        </w:numPr>
        <w:spacing w:after="80" w:line="276"/>
        <w:jc w:val="both"/>
      </w:pPr>
      <w:r>
        <w:rPr>
          <w:rFonts w:ascii="Calibri" w:cs="Calibri" w:eastAsia="Calibri" w:hAnsi="Calibri"/>
          <w:b/>
          <w:bCs/>
          <w:i w:val="false"/>
          <w:iCs w:val="false"/>
          <w:sz w:val="21"/>
          <w:szCs w:val="21"/>
        </w:rPr>
        <w:t xml:space="preserve">NOT causal. </w:t>
      </w:r>
      <w:r>
        <w:rPr>
          <w:rFonts w:ascii="Calibri" w:cs="Calibri" w:eastAsia="Calibri" w:hAnsi="Calibri"/>
          <w:b w:val="false"/>
          <w:bCs w:val="false"/>
          <w:i w:val="false"/>
          <w:iCs w:val="false"/>
          <w:sz w:val="21"/>
          <w:szCs w:val="21"/>
        </w:rPr>
        <w:t xml:space="preserve">There is no before-and-after observation. Write "associated with", "consistent with", "difficult to explain by". Never "caused", "led to" or "effect of".</w:t>
      </w:r>
    </w:p>
    <w:p>
      <w:pPr>
        <w:spacing w:after="60"/>
      </w:pPr>
    </w:p>
    <w:p>
      <w:pPr>
        <w:spacing w:after="120" w:line="276"/>
        <w:jc w:val="both"/>
      </w:pPr>
      <w:r>
        <w:rPr>
          <w:rFonts w:ascii="Calibri" w:cs="Calibri" w:eastAsia="Calibri" w:hAnsi="Calibri"/>
          <w:b/>
          <w:bCs/>
          <w:i w:val="false"/>
          <w:iCs w:val="false"/>
          <w:color w:val="000000"/>
          <w:sz w:val="21"/>
          <w:szCs w:val="21"/>
        </w:rPr>
        <w:t xml:space="preserve">One asymmetry to remember throughout. </w:t>
      </w:r>
      <w:r>
        <w:rPr>
          <w:rFonts w:ascii="Calibri" w:cs="Calibri" w:eastAsia="Calibri" w:hAnsi="Calibri"/>
          <w:b w:val="false"/>
          <w:bCs w:val="false"/>
          <w:i w:val="false"/>
          <w:iCs w:val="false"/>
          <w:color w:val="000000"/>
          <w:sz w:val="21"/>
          <w:szCs w:val="21"/>
        </w:rPr>
        <w:t xml:space="preserve">Low vegetation vigour where vegetation should be present is fairly reliable evidence of poor condition. High vigour is WEAK evidence of good condition, because plantations, irrigated cropland and woody encroachment all score highly. You are working in the weaker direction — which is exactly why the two diagnostic flags exist.</w:t>
      </w:r>
    </w:p>
    <w:p>
      <w:r>
        <w:br w:type="page"/>
      </w:r>
    </w:p>
    <w:p>
      <w:pPr>
        <w:pStyle w:val="Heading1"/>
        <w:pBdr>
          <w:bottom w:val="single" w:color="1F3864" w:sz="12" w:space="6"/>
        </w:pBdr>
        <w:spacing w:after="200" w:before="400"/>
      </w:pPr>
      <w:r>
        <w:rPr>
          <w:rFonts w:ascii="Calibri" w:cs="Calibri" w:eastAsia="Calibri" w:hAnsi="Calibri"/>
          <w:b/>
          <w:bCs/>
          <w:color w:val="1F3864"/>
          <w:sz w:val="32"/>
          <w:szCs w:val="32"/>
        </w:rPr>
        <w:t xml:space="preserve">Part 2  ·  What you have and what you still need</w:t>
      </w:r>
    </w:p>
    <w:p>
      <w:pPr>
        <w:pStyle w:val="Heading2"/>
        <w:spacing w:after="130" w:before="280"/>
      </w:pPr>
      <w:r>
        <w:rPr>
          <w:rFonts w:ascii="Calibri" w:cs="Calibri" w:eastAsia="Calibri" w:hAnsi="Calibri"/>
          <w:b/>
          <w:bCs/>
          <w:color w:val="2E5496"/>
          <w:sz w:val="25"/>
          <w:szCs w:val="25"/>
        </w:rPr>
        <w:t xml:space="preserve">2.1  What you already have</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6420"/>
      </w:tblGrid>
      <w:tr>
        <w:trPr>
          <w:tblHeader/>
        </w:trPr>
        <w:tc>
          <w:tcPr>
            <w:tcW w:type="dxa" w:w="26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Asset</w:t>
            </w:r>
          </w:p>
        </w:tc>
        <w:tc>
          <w:tcPr>
            <w:tcW w:type="dxa" w:w="64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Status and what it gives you</w:t>
            </w:r>
          </w:p>
        </w:tc>
      </w:tr>
      <w:tr>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212 intentional settlements with coordinates</w:t>
            </w:r>
          </w:p>
        </w:tc>
        <w:tc>
          <w:tcPr>
            <w:tcW w:type="dxa" w:w="6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COMPLETE. Onset years span 1930–2020, median 2006. Roughly sixty countries.</w:t>
            </w:r>
          </w:p>
        </w:tc>
      </w:tr>
      <w:tr>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212 conventional-rural controls</w:t>
            </w:r>
          </w:p>
        </w:tc>
        <w:tc>
          <w:tcPr>
            <w:tcW w:type="dxa" w:w="6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PARTIAL. One per settlement; this plan uses three. See §2.2.</w:t>
            </w:r>
          </w:p>
        </w:tc>
      </w:tr>
      <w:tr>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212 natural-area sites</w:t>
            </w:r>
          </w:p>
        </w:tc>
        <w:tc>
          <w:tcPr>
            <w:tcW w:type="dxa" w:w="6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USABLE but repurposed. These join the natural reference pool rather than remaining paired — see §2.3.</w:t>
            </w:r>
          </w:p>
        </w:tc>
      </w:tr>
      <w:tr>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212 semi-urban sites</w:t>
            </w:r>
          </w:p>
        </w:tc>
        <w:tc>
          <w:tcPr>
            <w:tcW w:type="dxa" w:w="6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USABLE, same repurposing, and now SPLIT into a reference subset and a held-out comparison subset (§6.2).</w:t>
            </w:r>
          </w:p>
        </w:tc>
      </w:tr>
      <w:tr>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Stage 1 coding workbook</w:t>
            </w:r>
          </w:p>
        </w:tc>
        <w:tc>
          <w:tcPr>
            <w:tcW w:type="dxa" w:w="6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COMPLETE and ready. Fourteen sheets, dropdowns, pre-filled codebook and claim mapping, thresholds assigned.</w:t>
            </w:r>
          </w:p>
        </w:tc>
      </w:tr>
      <w:tr>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Sample-size justification</w:t>
            </w:r>
          </w:p>
        </w:tc>
        <w:tc>
          <w:tcPr>
            <w:tcW w:type="dxa" w:w="6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SUPERSEDED, but its conclusion holds: 212 settlements give a detectable difference of 0.22 SD on the primary comparison, which is comfortable.</w:t>
            </w:r>
          </w:p>
        </w:tc>
      </w:tr>
      <w:tr>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blind pilot</w:t>
            </w:r>
          </w:p>
        </w:tc>
        <w:tc>
          <w:tcPr>
            <w:tcW w:type="dxa" w:w="6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COMPLETE. It measured the noise in the data directly rather than assuming it, and confirmed the design can see what you are looking for.</w:t>
            </w:r>
          </w:p>
        </w:tc>
      </w:tr>
    </w:tbl>
    <w:p>
      <w:pPr>
        <w:spacing w:after="120"/>
      </w:pPr>
    </w:p>
    <w:tbl>
      <w:tblPr>
        <w:tblW w:type="dxa" w:w="9020"/>
        <w:tblBorders>
          <w:top w:val="none" w:color="FFFFFF" w:sz="0"/>
          <w:left w:val="single" w:color="2E5496" w:sz="18"/>
          <w:bottom w:val="none" w:color="FFFFFF" w:sz="0"/>
          <w:right w:val="none" w:color="FFFFFF" w:sz="0"/>
          <w:insideH w:val="none" w:color="FFFFFF" w:sz="0"/>
          <w:insideV w:val="none" w:color="FFFFFF" w:sz="0"/>
        </w:tblBorders>
      </w:tblPr>
      <w:tblGrid>
        <w:gridCol w:w="9020"/>
      </w:tblGrid>
      <w:tr>
        <w:tc>
          <w:tcPr>
            <w:tcW w:type="dxa" w:w="9020"/>
            <w:shd w:fill="EAF1FB" w:color="auto" w:val="clear"/>
            <w:tcMar>
              <w:top w:type="dxa" w:w="150"/>
              <w:left w:type="dxa" w:w="180"/>
              <w:bottom w:type="dxa" w:w="150"/>
              <w:right w:type="dxa" w:w="180"/>
            </w:tcMar>
          </w:tcPr>
          <w:p>
            <w:pPr>
              <w:spacing w:after="90"/>
            </w:pPr>
            <w:r>
              <w:rPr>
                <w:rFonts w:ascii="Calibri" w:cs="Calibri" w:eastAsia="Calibri" w:hAnsi="Calibri"/>
                <w:b/>
                <w:bCs/>
                <w:color w:val="2E5496"/>
                <w:sz w:val="21"/>
                <w:szCs w:val="21"/>
              </w:rPr>
              <w:t xml:space="preserve">The pilot result, restated — this is the reason to be confident</w:t>
            </w:r>
          </w:p>
          <w:p>
            <w:pPr>
              <w:spacing w:after="90" w:line="276"/>
              <w:jc w:val="both"/>
            </w:pPr>
            <w:r>
              <w:rPr>
                <w:rFonts w:ascii="Calibri" w:cs="Calibri" w:eastAsia="Calibri" w:hAnsi="Calibri"/>
                <w:sz w:val="20"/>
                <w:szCs w:val="20"/>
              </w:rPr>
              <w:t xml:space="preserve">At a 150 metre radius the residual variation between comparable rural sites is about 0.089 NDVI units, giving a smallest detectable difference of about 0.020.</w:t>
            </w:r>
          </w:p>
          <w:p>
            <w:pPr>
              <w:spacing w:after="90" w:line="276"/>
              <w:jc w:val="both"/>
            </w:pPr>
            <w:r>
              <w:rPr>
                <w:rFonts w:ascii="Calibri" w:cs="Calibri" w:eastAsia="Calibri" w:hAnsi="Calibri"/>
                <w:sz w:val="20"/>
                <w:szCs w:val="20"/>
              </w:rPr>
              <w:t xml:space="preserve">A five-hectare intervention producing a local effect of 0.10 shows up as 0.071 — three and a half times that threshold. At the old 500 metre radius the same intervention showed up as 0.006, well below it.</w:t>
            </w:r>
          </w:p>
          <w:p>
            <w:pPr>
              <w:spacing w:after="90" w:line="276"/>
              <w:jc w:val="both"/>
            </w:pPr>
            <w:r>
              <w:rPr>
                <w:rFonts w:ascii="Calibri" w:cs="Calibri" w:eastAsia="Calibri" w:hAnsi="Calibri"/>
                <w:sz w:val="20"/>
                <w:szCs w:val="20"/>
              </w:rPr>
              <w:t xml:space="preserve">The pilot also measured something the old plan had only assumed: noise falls only 1.85-fold when measurement area increases a hundredfold, because neighbouring pixels are not independent. That means shrinking the zone costs far less precision than theory predicted — a 1.28-fold noise penalty against the 3.1-fold assumed. The net gain from the zone change is about sevenfold, not threefold.</w:t>
            </w:r>
          </w:p>
        </w:tc>
      </w:tr>
    </w:tbl>
    <w:p>
      <w:pPr>
        <w:spacing w:after="140"/>
      </w:pPr>
    </w:p>
    <w:p>
      <w:pPr>
        <w:pStyle w:val="Heading2"/>
        <w:spacing w:after="130" w:before="280"/>
      </w:pPr>
      <w:r>
        <w:rPr>
          <w:rFonts w:ascii="Calibri" w:cs="Calibri" w:eastAsia="Calibri" w:hAnsi="Calibri"/>
          <w:b/>
          <w:bCs/>
          <w:color w:val="2E5496"/>
          <w:sz w:val="25"/>
          <w:szCs w:val="25"/>
        </w:rPr>
        <w:t xml:space="preserve">2.2  What you still need to produce</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600"/>
        <w:gridCol w:w="2600"/>
        <w:gridCol w:w="1800"/>
        <w:gridCol w:w="4020"/>
      </w:tblGrid>
      <w:tr>
        <w:trPr>
          <w:tblHeader/>
        </w:trPr>
        <w:tc>
          <w:tcPr>
            <w:tcW w:type="dxa" w:w="6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c>
          <w:tcPr>
            <w:tcW w:type="dxa" w:w="26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Item</w:t>
            </w:r>
          </w:p>
        </w:tc>
        <w:tc>
          <w:tcPr>
            <w:tcW w:type="dxa" w:w="18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Effort</w:t>
            </w:r>
          </w:p>
        </w:tc>
        <w:tc>
          <w:tcPr>
            <w:tcW w:type="dxa" w:w="40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Notes</w:t>
            </w:r>
          </w:p>
        </w:tc>
      </w:tr>
      <w:tr>
        <w:tc>
          <w:tcPr>
            <w:tcW w:type="dxa" w:w="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Two further conventional-rural controls per settlement</w:t>
            </w:r>
          </w:p>
        </w:tc>
        <w:tc>
          <w:tcPr>
            <w:tcW w:type="dxa" w:w="1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2–3 weeks</w:t>
            </w:r>
          </w:p>
        </w:tc>
        <w:tc>
          <w:tcPr>
            <w:tcW w:type="dxa" w:w="40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You have one. Three cuts the noise in the comparison by a third relative to one. Matching rules in Stage 2.</w:t>
            </w:r>
          </w:p>
        </w:tc>
      </w:tr>
      <w:tr>
        <w:tc>
          <w:tcPr>
            <w:tcW w:type="dxa" w:w="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w:t>
            </w:r>
          </w:p>
        </w:tc>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Documentary coding of 212 communities</w:t>
            </w:r>
          </w:p>
        </w:tc>
        <w:tc>
          <w:tcPr>
            <w:tcW w:type="dxa" w:w="1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8–12 weeks</w:t>
            </w:r>
          </w:p>
        </w:tc>
        <w:tc>
          <w:tcPr>
            <w:tcW w:type="dxa" w:w="40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critical path. Use the workbook you already have.</w:t>
            </w:r>
          </w:p>
        </w:tc>
      </w:tr>
      <w:tr>
        <w:tc>
          <w:tcPr>
            <w:tcW w:type="dxa" w:w="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3</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THREE reference pools: ~600 natural, ~450 semi-urban, ~300 productive</w:t>
            </w:r>
          </w:p>
        </w:tc>
        <w:tc>
          <w:tcPr>
            <w:tcW w:type="dxa" w:w="1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1–2 weeks</w:t>
            </w:r>
          </w:p>
        </w:tc>
        <w:tc>
          <w:tcPr>
            <w:tcW w:type="dxa" w:w="40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Drawn by code from random points with a recorded seed and filtered automatically. Your existing sites go into the first two pools. The productive pool is new and is required — see §6.2.</w:t>
            </w:r>
          </w:p>
        </w:tc>
      </w:tr>
      <w:tr>
        <w:tc>
          <w:tcPr>
            <w:tcW w:type="dxa" w:w="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4</w:t>
            </w:r>
          </w:p>
        </w:tc>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One Earth Engine extraction script</w:t>
            </w:r>
          </w:p>
        </w:tc>
        <w:tc>
          <w:tcPr>
            <w:tcW w:type="dxa" w:w="1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1–2 weeks</w:t>
            </w:r>
          </w:p>
        </w:tc>
        <w:tc>
          <w:tcPr>
            <w:tcW w:type="dxa" w:w="40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Part 4 gives every dataset and quantity. Adapt the pilot script you already ran successfully.</w:t>
            </w:r>
          </w:p>
        </w:tc>
      </w:tr>
      <w:tr>
        <w:tc>
          <w:tcPr>
            <w:tcW w:type="dxa" w:w="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5</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Data preparation and index code</w:t>
            </w:r>
          </w:p>
        </w:tc>
        <w:tc>
          <w:tcPr>
            <w:tcW w:type="dxa" w:w="1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2–3 weeks</w:t>
            </w:r>
          </w:p>
        </w:tc>
        <w:tc>
          <w:tcPr>
            <w:tcW w:type="dxa" w:w="40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Parts 5 and 6.</w:t>
            </w:r>
          </w:p>
        </w:tc>
      </w:tr>
      <w:tr>
        <w:tc>
          <w:tcPr>
            <w:tcW w:type="dxa" w:w="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6</w:t>
            </w:r>
          </w:p>
        </w:tc>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Analysis code</w:t>
            </w:r>
          </w:p>
        </w:tc>
        <w:tc>
          <w:tcPr>
            <w:tcW w:type="dxa" w:w="1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 weeks</w:t>
            </w:r>
          </w:p>
        </w:tc>
        <w:tc>
          <w:tcPr>
            <w:tcW w:type="dxa" w:w="40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Parts 8 and 9.</w:t>
            </w:r>
          </w:p>
        </w:tc>
      </w:tr>
      <w:tr>
        <w:tc>
          <w:tcPr>
            <w:tcW w:type="dxa" w:w="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7</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LONGITUDINAL COHORT: ~65 communities with onset 2020–2021, plus 3 matched controls each</w:t>
            </w:r>
          </w:p>
        </w:tc>
        <w:tc>
          <w:tcPr>
            <w:tcW w:type="dxa" w:w="1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4–6 weeks</w:t>
            </w:r>
          </w:p>
        </w:tc>
        <w:tc>
          <w:tcPr>
            <w:tcW w:type="dxa" w:w="40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NEW IN VERSION 3.0. These are a SEPARATE sample from the 212 — your existing communities contain almost none with onset in that window, because directories list established communities. Enumerate them the same way, match controls the same way, and keep them separate throughout (§8.10).</w:t>
            </w:r>
          </w:p>
        </w:tc>
      </w:tr>
      <w:tr>
        <w:tc>
          <w:tcPr>
            <w:tcW w:type="dxa" w:w="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8</w:t>
            </w:r>
          </w:p>
        </w:tc>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Ethics clearance</w:t>
            </w:r>
          </w:p>
        </w:tc>
        <w:tc>
          <w:tcPr>
            <w:tcW w:type="dxa" w:w="1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Only if contacting communities</w:t>
            </w:r>
          </w:p>
        </w:tc>
        <w:tc>
          <w:tcPr>
            <w:tcW w:type="dxa" w:w="40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If you code entirely from published sources, this does not arise. See decision D1.</w:t>
            </w:r>
          </w:p>
        </w:tc>
      </w:tr>
    </w:tbl>
    <w:p>
      <w:pPr>
        <w:spacing w:after="140"/>
      </w:pPr>
    </w:p>
    <w:p>
      <w:pPr>
        <w:pStyle w:val="Heading2"/>
        <w:spacing w:after="130" w:before="280"/>
      </w:pPr>
      <w:r>
        <w:rPr>
          <w:rFonts w:ascii="Calibri" w:cs="Calibri" w:eastAsia="Calibri" w:hAnsi="Calibri"/>
          <w:b/>
          <w:bCs/>
          <w:color w:val="2E5496"/>
          <w:sz w:val="25"/>
          <w:szCs w:val="25"/>
        </w:rPr>
        <w:t xml:space="preserve">2.3  The longitudinal cohort — a second, separate sample</w:t>
      </w:r>
    </w:p>
    <w:tbl>
      <w:tblPr>
        <w:tblW w:type="dxa" w:w="9020"/>
        <w:tblBorders>
          <w:top w:val="none" w:color="FFFFFF" w:sz="0"/>
          <w:left w:val="single" w:color="2E5496" w:sz="18"/>
          <w:bottom w:val="none" w:color="FFFFFF" w:sz="0"/>
          <w:right w:val="none" w:color="FFFFFF" w:sz="0"/>
          <w:insideH w:val="none" w:color="FFFFFF" w:sz="0"/>
          <w:insideV w:val="none" w:color="FFFFFF" w:sz="0"/>
        </w:tblBorders>
      </w:tblPr>
      <w:tblGrid>
        <w:gridCol w:w="9020"/>
      </w:tblGrid>
      <w:tr>
        <w:tc>
          <w:tcPr>
            <w:tcW w:type="dxa" w:w="9020"/>
            <w:shd w:fill="EAF1FB" w:color="auto" w:val="clear"/>
            <w:tcMar>
              <w:top w:type="dxa" w:w="150"/>
              <w:left w:type="dxa" w:w="180"/>
              <w:bottom w:type="dxa" w:w="150"/>
              <w:right w:type="dxa" w:w="180"/>
            </w:tcMar>
          </w:tcPr>
          <w:p>
            <w:pPr>
              <w:spacing w:after="90"/>
            </w:pPr>
            <w:r>
              <w:rPr>
                <w:rFonts w:ascii="Calibri" w:cs="Calibri" w:eastAsia="Calibri" w:hAnsi="Calibri"/>
                <w:b/>
                <w:bCs/>
                <w:color w:val="2E5496"/>
                <w:sz w:val="21"/>
                <w:szCs w:val="21"/>
              </w:rPr>
              <w:t xml:space="preserve">Why this is a separate sample and not an extension of the 212</w:t>
            </w:r>
          </w:p>
          <w:p>
            <w:pPr>
              <w:spacing w:after="90" w:line="276"/>
              <w:jc w:val="both"/>
            </w:pPr>
            <w:r>
              <w:rPr>
                <w:rFonts w:ascii="Calibri" w:cs="Calibri" w:eastAsia="Calibri" w:hAnsi="Calibri"/>
                <w:sz w:val="20"/>
                <w:szCs w:val="20"/>
              </w:rPr>
              <w:t xml:space="preserve">Your 212 communities have a median onset of 2006 and almost none began work in 2020–2021. That is not a gap in your enumeration — it is what the population looks like, because directories list communities that are established enough to be listed.</w:t>
            </w:r>
          </w:p>
          <w:p>
            <w:pPr>
              <w:spacing w:after="90" w:line="276"/>
              <w:jc w:val="both"/>
            </w:pPr>
            <w:r>
              <w:rPr>
                <w:rFonts w:ascii="Calibri" w:cs="Calibri" w:eastAsia="Calibri" w:hAnsi="Calibri"/>
                <w:sz w:val="20"/>
                <w:szCs w:val="20"/>
              </w:rPr>
              <w:t xml:space="preserve">The cohort is therefore assembled separately: roughly 65 communities selected BECAUSE their onset falls in 2020 or 2021, each with three controls matched by the same rules. Around 260 sites in total.</w:t>
            </w:r>
          </w:p>
          <w:p>
            <w:pPr>
              <w:spacing w:after="90" w:line="276"/>
              <w:jc w:val="both"/>
            </w:pPr>
            <w:r>
              <w:rPr>
                <w:rFonts w:ascii="Calibri" w:cs="Calibri" w:eastAsia="Calibri" w:hAnsi="Calibri"/>
                <w:sz w:val="20"/>
                <w:szCs w:val="20"/>
              </w:rPr>
              <w:t xml:space="preserve">They are never pooled into the main analysis. Pooling would shift the age distribution of the 212 and would mean selecting part of the sample on a variable that analysis A4 treats as an outcome-relevant predictor. The cohort is analysed only in A8, and A8 is reported as a separate component with its own estimand.</w:t>
            </w:r>
          </w:p>
        </w:tc>
      </w:tr>
    </w:tbl>
    <w:p>
      <w:pPr>
        <w:spacing w:after="140"/>
      </w:pPr>
    </w:p>
    <w:p>
      <w:pPr>
        <w:spacing w:after="120" w:line="276"/>
        <w:jc w:val="both"/>
      </w:pPr>
      <w:r>
        <w:rPr>
          <w:rFonts w:ascii="Calibri" w:cs="Calibri" w:eastAsia="Calibri" w:hAnsi="Calibri"/>
          <w:b w:val="false"/>
          <w:bCs w:val="false"/>
          <w:i w:val="false"/>
          <w:iCs w:val="false"/>
          <w:color w:val="000000"/>
          <w:sz w:val="21"/>
          <w:szCs w:val="21"/>
        </w:rPr>
        <w:t xml:space="preserve">One question must be settled before you enumerate them, and it is the reason field onset_first_or_major exists in the coding workbook: is a 2021 onset the community’s FIRST ecological intervention, or a major NEW project at a community founded decades earlier? Both are usable and both are interesting, but they are different treatments. Record which, and either restrict the cohort to first-intervention communities or report the two groups separately.</w:t>
      </w:r>
    </w:p>
    <w:p>
      <w:pPr>
        <w:spacing w:after="120" w:line="276"/>
        <w:jc w:val="both"/>
      </w:pPr>
      <w:r>
        <w:rPr>
          <w:rFonts w:ascii="Calibri" w:cs="Calibri" w:eastAsia="Calibri" w:hAnsi="Calibri"/>
          <w:b/>
          <w:bCs/>
          <w:i w:val="false"/>
          <w:iCs w:val="false"/>
          <w:color w:val="000000"/>
          <w:sz w:val="21"/>
          <w:szCs w:val="21"/>
        </w:rPr>
        <w:t xml:space="preserve">What this costs in extraction. </w:t>
      </w:r>
      <w:r>
        <w:rPr>
          <w:rFonts w:ascii="Calibri" w:cs="Calibri" w:eastAsia="Calibri" w:hAnsi="Calibri"/>
          <w:b w:val="false"/>
          <w:bCs w:val="false"/>
          <w:i w:val="false"/>
          <w:iCs w:val="false"/>
          <w:color w:val="000000"/>
          <w:sz w:val="21"/>
          <w:szCs w:val="21"/>
        </w:rPr>
        <w:t xml:space="preserve">The cohort needs three pre-onset years, so extraction for these sites runs 2017–2025 rather than 2019–2025. Sentinel-2B only finished commissioning around mid-2017, so 2017 is half a single-satellite year — which is why the CORE cohort is onset 2020–2021, where 2017 is the earliest pre-year needed and only for the 2020 group. Communities with onset in 2019 depend on 2017 entirely and are admitted as an extension rather than as core (§8.10).</w:t>
      </w:r>
    </w:p>
    <w:p>
      <w:pPr>
        <w:spacing w:after="140"/>
      </w:pPr>
    </w:p>
    <w:p>
      <w:pPr>
        <w:pStyle w:val="Heading2"/>
        <w:spacing w:after="130" w:before="280"/>
      </w:pPr>
      <w:r>
        <w:rPr>
          <w:rFonts w:ascii="Calibri" w:cs="Calibri" w:eastAsia="Calibri" w:hAnsi="Calibri"/>
          <w:b/>
          <w:bCs/>
          <w:color w:val="2E5496"/>
          <w:sz w:val="25"/>
          <w:szCs w:val="25"/>
        </w:rPr>
        <w:t xml:space="preserve">2.4  One change to your existing sample, and why</w:t>
      </w:r>
    </w:p>
    <w:p>
      <w:pPr>
        <w:spacing w:after="120" w:line="276"/>
        <w:jc w:val="both"/>
      </w:pPr>
      <w:r>
        <w:rPr>
          <w:rFonts w:ascii="Calibri" w:cs="Calibri" w:eastAsia="Calibri" w:hAnsi="Calibri"/>
          <w:b w:val="false"/>
          <w:bCs w:val="false"/>
          <w:i w:val="false"/>
          <w:iCs w:val="false"/>
          <w:color w:val="000000"/>
          <w:sz w:val="21"/>
          <w:szCs w:val="21"/>
        </w:rPr>
        <w:t xml:space="preserve">Your natural and semi-urban sites are currently PAIRED — one of each per settlement. This plan pools them instead.</w:t>
      </w:r>
    </w:p>
    <w:p>
      <w:pPr>
        <w:spacing w:after="120" w:line="276"/>
        <w:jc w:val="both"/>
      </w:pPr>
      <w:r>
        <w:rPr>
          <w:rFonts w:ascii="Calibri" w:cs="Calibri" w:eastAsia="Calibri" w:hAnsi="Calibri"/>
          <w:b w:val="false"/>
          <w:bCs w:val="false"/>
          <w:i w:val="false"/>
          <w:iCs w:val="false"/>
          <w:color w:val="000000"/>
          <w:sz w:val="21"/>
          <w:szCs w:val="21"/>
        </w:rPr>
        <w:t xml:space="preserve">They answer a different kind of question. A conventional-rural control answers "what does a comparable village near THIS settlement look like?" — specific to that settlement, so it needs pairing. A natural site answers "what condition is attainable in THIS KIND OF ENVIRONMENT?" — a question about an environment, not a place. The right estimate is a percentile across many sites in the same climate and biome, not the value at one partner that might happen to be atypical and would silently distort that settlement’s whole scale.</w:t>
      </w:r>
    </w:p>
    <w:p>
      <w:pPr>
        <w:spacing w:after="120" w:line="276"/>
        <w:jc w:val="both"/>
      </w:pPr>
      <w:r>
        <w:rPr>
          <w:rFonts w:ascii="Calibri" w:cs="Calibri" w:eastAsia="Calibri" w:hAnsi="Calibri"/>
          <w:b/>
          <w:bCs/>
          <w:i w:val="false"/>
          <w:iCs w:val="false"/>
          <w:color w:val="000000"/>
          <w:sz w:val="21"/>
          <w:szCs w:val="21"/>
        </w:rPr>
        <w:t xml:space="preserve">Nothing is wasted. </w:t>
      </w:r>
      <w:r>
        <w:rPr>
          <w:rFonts w:ascii="Calibri" w:cs="Calibri" w:eastAsia="Calibri" w:hAnsi="Calibri"/>
          <w:b w:val="false"/>
          <w:bCs w:val="false"/>
          <w:i w:val="false"/>
          <w:iCs w:val="false"/>
          <w:color w:val="000000"/>
          <w:sz w:val="21"/>
          <w:szCs w:val="21"/>
        </w:rPr>
        <w:t xml:space="preserve">All 212 natural and 212 semi-urban sites enter the pools. You are adding to them, and pooling makes each reference level more stable rather than less.</w:t>
      </w:r>
    </w:p>
    <w:p>
      <w:r>
        <w:br w:type="page"/>
      </w:r>
    </w:p>
    <w:p>
      <w:pPr>
        <w:pStyle w:val="Heading1"/>
        <w:pBdr>
          <w:bottom w:val="single" w:color="1F3864" w:sz="12" w:space="6"/>
        </w:pBdr>
        <w:spacing w:after="200" w:before="400"/>
      </w:pPr>
      <w:r>
        <w:rPr>
          <w:rFonts w:ascii="Calibri" w:cs="Calibri" w:eastAsia="Calibri" w:hAnsi="Calibri"/>
          <w:b/>
          <w:bCs/>
          <w:color w:val="1F3864"/>
          <w:sz w:val="32"/>
          <w:szCs w:val="32"/>
        </w:rPr>
        <w:t xml:space="preserve">Part 3  ·  The variable register</w:t>
      </w:r>
    </w:p>
    <w:p>
      <w:pPr>
        <w:spacing w:after="120" w:line="276"/>
        <w:jc w:val="both"/>
      </w:pPr>
      <w:r>
        <w:rPr>
          <w:rFonts w:ascii="Calibri" w:cs="Calibri" w:eastAsia="Calibri" w:hAnsi="Calibri"/>
          <w:b w:val="false"/>
          <w:bCs w:val="false"/>
          <w:i w:val="false"/>
          <w:iCs w:val="false"/>
          <w:color w:val="000000"/>
          <w:sz w:val="21"/>
          <w:szCs w:val="21"/>
        </w:rPr>
        <w:t xml:space="preserve">Every variable in the study, with its exact name, symbol, role, unit and source. This is your reference sheet: use it when writing the methods chapter and when building the analysis file. Column names given in the "field name" column are the ones to use in your data files, so that the plan and the data agree.</w:t>
      </w:r>
    </w:p>
    <w:p>
      <w:pPr>
        <w:pStyle w:val="Heading2"/>
        <w:spacing w:after="130" w:before="280"/>
      </w:pPr>
      <w:r>
        <w:rPr>
          <w:rFonts w:ascii="Calibri" w:cs="Calibri" w:eastAsia="Calibri" w:hAnsi="Calibri"/>
          <w:b/>
          <w:bCs/>
          <w:color w:val="2E5496"/>
          <w:sz w:val="25"/>
          <w:szCs w:val="25"/>
        </w:rPr>
        <w:t xml:space="preserve">3.1  Roles, defined</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1900"/>
        <w:gridCol w:w="2400"/>
        <w:gridCol w:w="4720"/>
      </w:tblGrid>
      <w:tr>
        <w:trPr>
          <w:tblHeader/>
        </w:trPr>
        <w:tc>
          <w:tcPr>
            <w:tcW w:type="dxa" w:w="19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Role</w:t>
            </w:r>
          </w:p>
        </w:tc>
        <w:tc>
          <w:tcPr>
            <w:tcW w:type="dxa" w:w="24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What it means here</w:t>
            </w:r>
          </w:p>
        </w:tc>
        <w:tc>
          <w:tcPr>
            <w:tcW w:type="dxa" w:w="47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Variables in this study</w:t>
            </w:r>
          </w:p>
        </w:tc>
      </w:tr>
      <w:tr>
        <w:tc>
          <w:tcPr>
            <w:tcW w:type="dxa" w:w="19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DEPENDENT (outcome)</w:t>
            </w:r>
          </w:p>
        </w:tc>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What the study explains. Compared between settlements and controls.</w:t>
            </w:r>
          </w:p>
        </w:tc>
        <w:tc>
          <w:tcPr>
            <w:tcW w:type="dxa" w:w="47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VCI and its four dimension scores; PCI; land-cover composition</w:t>
            </w:r>
          </w:p>
        </w:tc>
      </w:tr>
      <w:tr>
        <w:tc>
          <w:tcPr>
            <w:tcW w:type="dxa" w:w="19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INDEPENDENT (explanatory)</w:t>
            </w:r>
          </w:p>
        </w:tc>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What the study proposes as the explanation. SITE_TYPE is the study’s reason for existing.</w:t>
            </w:r>
          </w:p>
        </w:tc>
        <w:tc>
          <w:tcPr>
            <w:tcW w:type="dxa" w:w="47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Site type; years since onset; ring distance; managed area; thirteen practice codes</w:t>
            </w:r>
          </w:p>
        </w:tc>
      </w:tr>
      <w:tr>
        <w:tc>
          <w:tcPr>
            <w:tcW w:type="dxa" w:w="19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MEDIATOR (candidate)</w:t>
            </w:r>
          </w:p>
        </w:tc>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Sits on the path between being an intentional community and the outcome. Examined DESCRIPTIVELY, never formally tested — see §3.6.</w:t>
            </w:r>
          </w:p>
        </w:tc>
        <w:tc>
          <w:tcPr>
            <w:tcW w:type="dxa" w:w="47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Practice adoption; land-cover composition</w:t>
            </w:r>
          </w:p>
        </w:tc>
      </w:tr>
      <w:tr>
        <w:tc>
          <w:tcPr>
            <w:tcW w:type="dxa" w:w="19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MODERATOR</w:t>
            </w:r>
          </w:p>
        </w:tc>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Changes the SIZE of the settlement–control difference without lying on the causal path.</w:t>
            </w:r>
          </w:p>
        </w:tc>
        <w:tc>
          <w:tcPr>
            <w:tcW w:type="dxa" w:w="47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Climate group; biome; age band; activity tier; population band</w:t>
            </w:r>
          </w:p>
        </w:tc>
      </w:tr>
      <w:tr>
        <w:tc>
          <w:tcPr>
            <w:tcW w:type="dxa" w:w="19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CONTROL (covariate)</w:t>
            </w:r>
          </w:p>
        </w:tc>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Not of interest in itself, but distorts the comparison if left out.</w:t>
            </w:r>
          </w:p>
        </w:tc>
        <w:tc>
          <w:tcPr>
            <w:tcW w:type="dxa" w:w="47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Built fraction; elevation; slope; baseline tree cover; population; clear-observation count; country (held by matching)</w:t>
            </w:r>
          </w:p>
        </w:tc>
      </w:tr>
      <w:tr>
        <w:tc>
          <w:tcPr>
            <w:tcW w:type="dxa" w:w="19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DIAGNOSTIC</w:t>
            </w:r>
          </w:p>
        </w:tc>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Neither outcome nor predictor. Says HOW an observed condition is maintained.</w:t>
            </w:r>
          </w:p>
        </w:tc>
        <w:tc>
          <w:tcPr>
            <w:tcW w:type="dxa" w:w="47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Water-subsidy flag; disturbance flag</w:t>
            </w:r>
          </w:p>
        </w:tc>
      </w:tr>
    </w:tbl>
    <w:p>
      <w:pPr>
        <w:spacing w:after="140"/>
      </w:pPr>
    </w:p>
    <w:p>
      <w:pPr>
        <w:pStyle w:val="Heading2"/>
        <w:spacing w:after="130" w:before="280"/>
      </w:pPr>
      <w:r>
        <w:rPr>
          <w:rFonts w:ascii="Calibri" w:cs="Calibri" w:eastAsia="Calibri" w:hAnsi="Calibri"/>
          <w:b/>
          <w:bCs/>
          <w:color w:val="2E5496"/>
          <w:sz w:val="25"/>
          <w:szCs w:val="25"/>
        </w:rPr>
        <w:t xml:space="preserve">3.2  Dependent variables — exact names</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1300"/>
        <w:gridCol w:w="2100"/>
        <w:gridCol w:w="1500"/>
        <w:gridCol w:w="1200"/>
        <w:gridCol w:w="2920"/>
      </w:tblGrid>
      <w:tr>
        <w:trPr>
          <w:tblHeader/>
        </w:trPr>
        <w:tc>
          <w:tcPr>
            <w:tcW w:type="dxa" w:w="13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Symbol</w:t>
            </w:r>
          </w:p>
        </w:tc>
        <w:tc>
          <w:tcPr>
            <w:tcW w:type="dxa" w:w="21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Full name</w:t>
            </w:r>
          </w:p>
        </w:tc>
        <w:tc>
          <w:tcPr>
            <w:tcW w:type="dxa" w:w="15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Field name</w:t>
            </w:r>
          </w:p>
        </w:tc>
        <w:tc>
          <w:tcPr>
            <w:tcW w:type="dxa" w:w="12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Range</w:t>
            </w:r>
          </w:p>
        </w:tc>
        <w:tc>
          <w:tcPr>
            <w:tcW w:type="dxa" w:w="29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Definition</w:t>
            </w:r>
          </w:p>
        </w:tc>
      </w:tr>
      <w:tr>
        <w:tc>
          <w:tcPr>
            <w:tcW w:type="dxa" w:w="13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VCI</w:t>
            </w:r>
          </w:p>
        </w:tc>
        <w:tc>
          <w:tcPr>
            <w:tcW w:type="dxa" w:w="21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Vegetation Condition Index</w:t>
            </w:r>
          </w:p>
        </w:tc>
        <w:tc>
          <w:tcPr>
            <w:tcW w:type="dxa" w:w="15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vci</w:t>
            </w:r>
          </w:p>
        </w:tc>
        <w:tc>
          <w:tcPr>
            <w:tcW w:type="dxa" w:w="1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0–1</w:t>
            </w:r>
          </w:p>
        </w:tc>
        <w:tc>
          <w:tcPr>
            <w:tcW w:type="dxa" w:w="29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PRIMARY OUTCOME. Geometric mean of the four dimension scores below. Computed over VEGETATED pixels only, within the 150 m zone.</w:t>
            </w:r>
          </w:p>
        </w:tc>
      </w:tr>
      <w:tr>
        <w:tc>
          <w:tcPr>
            <w:tcW w:type="dxa" w:w="13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VCI-P</w:t>
            </w:r>
          </w:p>
        </w:tc>
        <w:tc>
          <w:tcPr>
            <w:tcW w:type="dxa" w:w="21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Productivity dimension score</w:t>
            </w:r>
          </w:p>
        </w:tc>
        <w:tc>
          <w:tcPr>
            <w:tcW w:type="dxa" w:w="15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vci_productivity</w:t>
            </w:r>
          </w:p>
        </w:tc>
        <w:tc>
          <w:tcPr>
            <w:tcW w:type="dxa" w:w="1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0–1</w:t>
            </w:r>
          </w:p>
        </w:tc>
        <w:tc>
          <w:tcPr>
            <w:tcW w:type="dxa" w:w="29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Arithmetic mean of the 2 rescaled productivity metrics.</w:t>
            </w:r>
          </w:p>
        </w:tc>
      </w:tr>
      <w:tr>
        <w:tc>
          <w:tcPr>
            <w:tcW w:type="dxa" w:w="13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VCI-S</w:t>
            </w:r>
          </w:p>
        </w:tc>
        <w:tc>
          <w:tcPr>
            <w:tcW w:type="dxa" w:w="21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Persistence dimension score</w:t>
            </w:r>
          </w:p>
        </w:tc>
        <w:tc>
          <w:tcPr>
            <w:tcW w:type="dxa" w:w="15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vci_persistence</w:t>
            </w:r>
          </w:p>
        </w:tc>
        <w:tc>
          <w:tcPr>
            <w:tcW w:type="dxa" w:w="1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0–1</w:t>
            </w:r>
          </w:p>
        </w:tc>
        <w:tc>
          <w:tcPr>
            <w:tcW w:type="dxa" w:w="29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Arithmetic mean of the 5 rescaled persistence metrics. The dimension the interventions physically predict.</w:t>
            </w:r>
          </w:p>
        </w:tc>
      </w:tr>
      <w:tr>
        <w:tc>
          <w:tcPr>
            <w:tcW w:type="dxa" w:w="13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VCI-T</w:t>
            </w:r>
          </w:p>
        </w:tc>
        <w:tc>
          <w:tcPr>
            <w:tcW w:type="dxa" w:w="21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Structure dimension score</w:t>
            </w:r>
          </w:p>
        </w:tc>
        <w:tc>
          <w:tcPr>
            <w:tcW w:type="dxa" w:w="15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vci_structure</w:t>
            </w:r>
          </w:p>
        </w:tc>
        <w:tc>
          <w:tcPr>
            <w:tcW w:type="dxa" w:w="1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0–1</w:t>
            </w:r>
          </w:p>
        </w:tc>
        <w:tc>
          <w:tcPr>
            <w:tcW w:type="dxa" w:w="29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Arithmetic mean of the 2 rescaled structure metrics.</w:t>
            </w:r>
          </w:p>
        </w:tc>
      </w:tr>
      <w:tr>
        <w:tc>
          <w:tcPr>
            <w:tcW w:type="dxa" w:w="13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VCI-C</w:t>
            </w:r>
          </w:p>
        </w:tc>
        <w:tc>
          <w:tcPr>
            <w:tcW w:type="dxa" w:w="21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Configuration dimension score</w:t>
            </w:r>
          </w:p>
        </w:tc>
        <w:tc>
          <w:tcPr>
            <w:tcW w:type="dxa" w:w="15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vci_configuration</w:t>
            </w:r>
          </w:p>
        </w:tc>
        <w:tc>
          <w:tcPr>
            <w:tcW w:type="dxa" w:w="1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0–1</w:t>
            </w:r>
          </w:p>
        </w:tc>
        <w:tc>
          <w:tcPr>
            <w:tcW w:type="dxa" w:w="29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Arithmetic mean of the 3 rescaled configuration metrics. Carries most of the management-diagnostic evidence.</w:t>
            </w:r>
          </w:p>
        </w:tc>
      </w:tr>
      <w:tr>
        <w:tc>
          <w:tcPr>
            <w:tcW w:type="dxa" w:w="13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PCI</w:t>
            </w:r>
          </w:p>
        </w:tc>
        <w:tc>
          <w:tcPr>
            <w:tcW w:type="dxa" w:w="21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Provisioning Capacity Index</w:t>
            </w:r>
          </w:p>
        </w:tc>
        <w:tc>
          <w:tcPr>
            <w:tcW w:type="dxa" w:w="15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pci</w:t>
            </w:r>
          </w:p>
        </w:tc>
        <w:tc>
          <w:tcPr>
            <w:tcW w:type="dxa" w:w="1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0–1</w:t>
            </w:r>
          </w:p>
        </w:tc>
        <w:tc>
          <w:tcPr>
            <w:tcW w:type="dxa" w:w="29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CO-PRIMARY OUTCOME. Arithmetic mean of the 3 rescaled provisioning metrics. Computed over the FULL zone, unmasked.</w:t>
            </w:r>
          </w:p>
        </w:tc>
      </w:tr>
      <w:tr>
        <w:tc>
          <w:tcPr>
            <w:tcW w:type="dxa" w:w="13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MDS</w:t>
            </w:r>
          </w:p>
        </w:tc>
        <w:tc>
          <w:tcPr>
            <w:tcW w:type="dxa" w:w="21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Management-Diagnostic Score</w:t>
            </w:r>
          </w:p>
        </w:tc>
        <w:tc>
          <w:tcPr>
            <w:tcW w:type="dxa" w:w="15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mds</w:t>
            </w:r>
          </w:p>
        </w:tc>
        <w:tc>
          <w:tcPr>
            <w:tcW w:type="dxa" w:w="1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0–1</w:t>
            </w:r>
          </w:p>
        </w:tc>
        <w:tc>
          <w:tcPr>
            <w:tcW w:type="dxa" w:w="29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Arithmetic mean of the 6 rescaled management-dominated metrics. Used only for H5.</w:t>
            </w:r>
          </w:p>
        </w:tc>
      </w:tr>
      <w:tr>
        <w:tc>
          <w:tcPr>
            <w:tcW w:type="dxa" w:w="13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LCC</w:t>
            </w:r>
          </w:p>
        </w:tc>
        <w:tc>
          <w:tcPr>
            <w:tcW w:type="dxa" w:w="21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Land-cover composition</w:t>
            </w:r>
          </w:p>
        </w:tc>
        <w:tc>
          <w:tcPr>
            <w:tcW w:type="dxa" w:w="15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lcc_tree, lcc_crop, lcc_grass, lcc_built, lcc_bare</w:t>
            </w:r>
          </w:p>
        </w:tc>
        <w:tc>
          <w:tcPr>
            <w:tcW w:type="dxa" w:w="1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fractions summing to ~1</w:t>
            </w:r>
          </w:p>
        </w:tc>
        <w:tc>
          <w:tcPr>
            <w:tcW w:type="dxa" w:w="29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Reported as a result in its own right, never folded into VCI.</w:t>
            </w:r>
          </w:p>
        </w:tc>
      </w:tr>
    </w:tbl>
    <w:p>
      <w:pPr>
        <w:spacing w:after="120"/>
      </w:pPr>
    </w:p>
    <w:p>
      <w:pPr>
        <w:spacing w:after="120" w:line="276"/>
        <w:jc w:val="both"/>
      </w:pPr>
      <w:r>
        <w:rPr>
          <w:rFonts w:ascii="Calibri" w:cs="Calibri" w:eastAsia="Calibri" w:hAnsi="Calibri"/>
          <w:b/>
          <w:bCs/>
          <w:i w:val="false"/>
          <w:iCs w:val="false"/>
          <w:color w:val="000000"/>
          <w:sz w:val="21"/>
          <w:szCs w:val="21"/>
        </w:rPr>
        <w:t xml:space="preserve">Why VCI and PCI are BOTH primary. </w:t>
      </w:r>
      <w:r>
        <w:rPr>
          <w:rFonts w:ascii="Calibri" w:cs="Calibri" w:eastAsia="Calibri" w:hAnsi="Calibri"/>
          <w:b w:val="false"/>
          <w:bCs w:val="false"/>
          <w:i w:val="false"/>
          <w:iCs w:val="false"/>
          <w:color w:val="000000"/>
          <w:sz w:val="21"/>
          <w:szCs w:val="21"/>
        </w:rPr>
        <w:t xml:space="preserve">The claim is that these communities achieve better condition WITHOUT producing less. That is two statements, so it is two tests. Reporting VCI alone would let a community that simply stopped farming look like a success.</w:t>
      </w:r>
    </w:p>
    <w:p>
      <w:pPr>
        <w:spacing w:after="120" w:line="276"/>
        <w:jc w:val="both"/>
      </w:pPr>
      <w:r>
        <w:rPr>
          <w:rFonts w:ascii="Calibri" w:cs="Calibri" w:eastAsia="Calibri" w:hAnsi="Calibri"/>
          <w:b/>
          <w:bCs/>
          <w:i w:val="false"/>
          <w:iCs w:val="false"/>
          <w:color w:val="000000"/>
          <w:sz w:val="21"/>
          <w:szCs w:val="21"/>
        </w:rPr>
        <w:t xml:space="preserve">Why LCC is separate. </w:t>
      </w:r>
      <w:r>
        <w:rPr>
          <w:rFonts w:ascii="Calibri" w:cs="Calibri" w:eastAsia="Calibri" w:hAnsi="Calibri"/>
          <w:b w:val="false"/>
          <w:bCs w:val="false"/>
          <w:i w:val="false"/>
          <w:iCs w:val="false"/>
          <w:color w:val="000000"/>
          <w:sz w:val="21"/>
          <w:szCs w:val="21"/>
        </w:rPr>
        <w:t xml:space="preserve">"More vegetation" and "better vegetation" are different findings. A village zone is on average 44% built surface, so an unmasked index confounds them. Report composition separately and the ambiguity disappears.</w:t>
      </w:r>
    </w:p>
    <w:p>
      <w:pPr>
        <w:spacing w:after="120" w:line="276"/>
        <w:jc w:val="both"/>
      </w:pPr>
      <w:r>
        <w:rPr>
          <w:rFonts w:ascii="Calibri" w:cs="Calibri" w:eastAsia="Calibri" w:hAnsi="Calibri"/>
          <w:b/>
          <w:bCs/>
          <w:i w:val="false"/>
          <w:iCs w:val="false"/>
          <w:color w:val="000000"/>
          <w:sz w:val="21"/>
          <w:szCs w:val="21"/>
        </w:rPr>
        <w:t xml:space="preserve">Never average VCI and PCI into one number. </w:t>
      </w:r>
      <w:r>
        <w:rPr>
          <w:rFonts w:ascii="Calibri" w:cs="Calibri" w:eastAsia="Calibri" w:hAnsi="Calibri"/>
          <w:b w:val="false"/>
          <w:bCs w:val="false"/>
          <w:i w:val="false"/>
          <w:iCs w:val="false"/>
          <w:color w:val="000000"/>
          <w:sz w:val="21"/>
          <w:szCs w:val="21"/>
        </w:rPr>
        <w:t xml:space="preserve">The whole claim is that both hold at once. Averaging lets a fall in one hide behind a rise in the other — precisely the trade-off you are testing.</w:t>
      </w:r>
    </w:p>
    <w:p>
      <w:pPr>
        <w:pStyle w:val="Heading2"/>
        <w:spacing w:after="130" w:before="280"/>
      </w:pPr>
      <w:r>
        <w:rPr>
          <w:rFonts w:ascii="Calibri" w:cs="Calibri" w:eastAsia="Calibri" w:hAnsi="Calibri"/>
          <w:b/>
          <w:bCs/>
          <w:color w:val="2E5496"/>
          <w:sz w:val="25"/>
          <w:szCs w:val="25"/>
        </w:rPr>
        <w:t xml:space="preserve">3.3  The fourteen vegetation condition metrics — exact names</w:t>
      </w:r>
    </w:p>
    <w:p>
      <w:pPr>
        <w:spacing w:after="120" w:line="276"/>
        <w:jc w:val="both"/>
      </w:pPr>
      <w:r>
        <w:rPr>
          <w:rFonts w:ascii="Calibri" w:cs="Calibri" w:eastAsia="Calibri" w:hAnsi="Calibri"/>
          <w:b w:val="false"/>
          <w:bCs w:val="false"/>
          <w:i w:val="false"/>
          <w:iCs w:val="false"/>
          <w:color w:val="000000"/>
          <w:sz w:val="21"/>
          <w:szCs w:val="21"/>
        </w:rPr>
        <w:t xml:space="preserve">Each is rescaled to 0–1 against its stratum reference levels before entering a dimension score. "Class" is the management-diagnostic classification of §3.8. "Inv" marks metrics that are sign-inverted before rescaling, because for them a LOWER raw value means BETTER condition.</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800"/>
        <w:gridCol w:w="2500"/>
        <w:gridCol w:w="1400"/>
        <w:gridCol w:w="700"/>
        <w:gridCol w:w="600"/>
        <w:gridCol w:w="3020"/>
      </w:tblGrid>
      <w:tr>
        <w:trPr>
          <w:tblHeader/>
        </w:trPr>
        <w:tc>
          <w:tcPr>
            <w:tcW w:type="dxa" w:w="8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Code</w:t>
            </w:r>
          </w:p>
        </w:tc>
        <w:tc>
          <w:tcPr>
            <w:tcW w:type="dxa" w:w="25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Full name</w:t>
            </w:r>
          </w:p>
        </w:tc>
        <w:tc>
          <w:tcPr>
            <w:tcW w:type="dxa" w:w="14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Field name</w:t>
            </w:r>
          </w:p>
        </w:tc>
        <w:tc>
          <w:tcPr>
            <w:tcW w:type="dxa" w:w="7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Class</w:t>
            </w:r>
          </w:p>
        </w:tc>
        <w:tc>
          <w:tcPr>
            <w:tcW w:type="dxa" w:w="6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Inv</w:t>
            </w:r>
          </w:p>
        </w:tc>
        <w:tc>
          <w:tcPr>
            <w:tcW w:type="dxa" w:w="30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What it is</w:t>
            </w:r>
          </w:p>
        </w:tc>
      </w:tr>
      <w:tr>
        <w:tc>
          <w:tcPr>
            <w:tcW w:type="dxa" w:w="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VM1</w:t>
            </w:r>
          </w:p>
        </w:tc>
        <w:tc>
          <w:tcPr>
            <w:tcW w:type="dxa" w:w="25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kNDVI seasonal integral</w:t>
            </w:r>
          </w:p>
        </w:tc>
        <w:tc>
          <w:tcPr>
            <w:tcW w:type="dxa" w:w="1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kndvi_integral</w:t>
            </w:r>
          </w:p>
        </w:tc>
        <w:tc>
          <w:tcPr>
            <w:tcW w:type="dxa" w:w="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w:t>
            </w:r>
          </w:p>
        </w:tc>
        <w:tc>
          <w:tcPr>
            <w:tcW w:type="dxa" w:w="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t>
            </w:r>
          </w:p>
        </w:tc>
        <w:tc>
          <w:tcPr>
            <w:tcW w:type="dxa" w:w="30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Sum of the twelve monthly kNDVI composites across the vegetation year. Total energy capture, resistant to saturation.</w:t>
            </w:r>
          </w:p>
        </w:tc>
      </w:tr>
      <w:tr>
        <w:tc>
          <w:tcPr>
            <w:tcW w:type="dxa" w:w="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VM2</w:t>
            </w:r>
          </w:p>
        </w:tc>
        <w:tc>
          <w:tcPr>
            <w:tcW w:type="dxa" w:w="25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NDVI peak-season maximum</w:t>
            </w:r>
          </w:p>
        </w:tc>
        <w:tc>
          <w:tcPr>
            <w:tcW w:type="dxa" w:w="1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ndvi_peak</w:t>
            </w:r>
          </w:p>
        </w:tc>
        <w:tc>
          <w:tcPr>
            <w:tcW w:type="dxa" w:w="7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w:t>
            </w:r>
          </w:p>
        </w:tc>
        <w:tc>
          <w:tcPr>
            <w:tcW w:type="dxa" w:w="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t>
            </w:r>
          </w:p>
        </w:tc>
        <w:tc>
          <w:tcPr>
            <w:tcW w:type="dxa" w:w="30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Highest of the twelve monthly NDVI composites. Peak greenness.</w:t>
            </w:r>
          </w:p>
        </w:tc>
      </w:tr>
      <w:tr>
        <w:tc>
          <w:tcPr>
            <w:tcW w:type="dxa" w:w="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VM3</w:t>
            </w:r>
          </w:p>
        </w:tc>
        <w:tc>
          <w:tcPr>
            <w:tcW w:type="dxa" w:w="25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Dry-season minimum NDVI</w:t>
            </w:r>
          </w:p>
        </w:tc>
        <w:tc>
          <w:tcPr>
            <w:tcW w:type="dxa" w:w="1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ndvi_min</w:t>
            </w:r>
          </w:p>
        </w:tc>
        <w:tc>
          <w:tcPr>
            <w:tcW w:type="dxa" w:w="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X</w:t>
            </w:r>
          </w:p>
        </w:tc>
        <w:tc>
          <w:tcPr>
            <w:tcW w:type="dxa" w:w="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t>
            </w:r>
          </w:p>
        </w:tc>
        <w:tc>
          <w:tcPr>
            <w:tcW w:type="dxa" w:w="30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Lowest of the twelve monthly NDVI composites. THE most mechanism-aligned metric: water harvesting and mulching make land less brown at the trough, not greener at the peak.</w:t>
            </w:r>
          </w:p>
        </w:tc>
      </w:tr>
      <w:tr>
        <w:tc>
          <w:tcPr>
            <w:tcW w:type="dxa" w:w="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VM4</w:t>
            </w:r>
          </w:p>
        </w:tc>
        <w:tc>
          <w:tcPr>
            <w:tcW w:type="dxa" w:w="25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Dry-season NDMI</w:t>
            </w:r>
          </w:p>
        </w:tc>
        <w:tc>
          <w:tcPr>
            <w:tcW w:type="dxa" w:w="1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ndmi_min</w:t>
            </w:r>
          </w:p>
        </w:tc>
        <w:tc>
          <w:tcPr>
            <w:tcW w:type="dxa" w:w="7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X</w:t>
            </w:r>
          </w:p>
        </w:tc>
        <w:tc>
          <w:tcPr>
            <w:tcW w:type="dxa" w:w="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t>
            </w:r>
          </w:p>
        </w:tc>
        <w:tc>
          <w:tcPr>
            <w:tcW w:type="dxa" w:w="30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NDMI in the month where NDVI is lowest. Canopy water content at the hardest time of year.</w:t>
            </w:r>
          </w:p>
        </w:tc>
      </w:tr>
      <w:tr>
        <w:tc>
          <w:tcPr>
            <w:tcW w:type="dxa" w:w="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VM5</w:t>
            </w:r>
          </w:p>
        </w:tc>
        <w:tc>
          <w:tcPr>
            <w:tcW w:type="dxa" w:w="25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Green cover duration</w:t>
            </w:r>
          </w:p>
        </w:tc>
        <w:tc>
          <w:tcPr>
            <w:tcW w:type="dxa" w:w="1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green_months</w:t>
            </w:r>
          </w:p>
        </w:tc>
        <w:tc>
          <w:tcPr>
            <w:tcW w:type="dxa" w:w="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w:t>
            </w:r>
          </w:p>
        </w:tc>
        <w:tc>
          <w:tcPr>
            <w:tcW w:type="dxa" w:w="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t>
            </w:r>
          </w:p>
        </w:tc>
        <w:tc>
          <w:tcPr>
            <w:tcW w:type="dxa" w:w="30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Number of months with NDVI above a site-relative threshold. Year-round cover is achieved by cover cropping, perennials and mulching — it is not inherited.</w:t>
            </w:r>
          </w:p>
        </w:tc>
      </w:tr>
      <w:tr>
        <w:tc>
          <w:tcPr>
            <w:tcW w:type="dxa" w:w="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VM6</w:t>
            </w:r>
          </w:p>
        </w:tc>
        <w:tc>
          <w:tcPr>
            <w:tcW w:type="dxa" w:w="25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Bare-ground fraction at minimum cover</w:t>
            </w:r>
          </w:p>
        </w:tc>
        <w:tc>
          <w:tcPr>
            <w:tcW w:type="dxa" w:w="1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bare_fraction</w:t>
            </w:r>
          </w:p>
        </w:tc>
        <w:tc>
          <w:tcPr>
            <w:tcW w:type="dxa" w:w="7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w:t>
            </w:r>
          </w:p>
        </w:tc>
        <w:tc>
          <w:tcPr>
            <w:tcW w:type="dxa" w:w="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YES</w:t>
            </w:r>
          </w:p>
        </w:tc>
        <w:tc>
          <w:tcPr>
            <w:tcW w:type="dxa" w:w="30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Mean BSI in the month of least cover, computed AFTER built-up masking. Directly reflects whether ground is left exposed.</w:t>
            </w:r>
          </w:p>
        </w:tc>
      </w:tr>
      <w:tr>
        <w:tc>
          <w:tcPr>
            <w:tcW w:type="dxa" w:w="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VM7</w:t>
            </w:r>
          </w:p>
        </w:tc>
        <w:tc>
          <w:tcPr>
            <w:tcW w:type="dxa" w:w="25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Interannual variability of greenness</w:t>
            </w:r>
          </w:p>
        </w:tc>
        <w:tc>
          <w:tcPr>
            <w:tcW w:type="dxa" w:w="1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ndvi_cv</w:t>
            </w:r>
          </w:p>
        </w:tc>
        <w:tc>
          <w:tcPr>
            <w:tcW w:type="dxa" w:w="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X</w:t>
            </w:r>
          </w:p>
        </w:tc>
        <w:tc>
          <w:tcPr>
            <w:tcW w:type="dxa" w:w="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YES</w:t>
            </w:r>
          </w:p>
        </w:tc>
        <w:tc>
          <w:tcPr>
            <w:tcW w:type="dxa" w:w="30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Coefficient of variation of the annual mean NDVI across the seven years. Low variability means a stable system.</w:t>
            </w:r>
          </w:p>
        </w:tc>
      </w:tr>
      <w:tr>
        <w:tc>
          <w:tcPr>
            <w:tcW w:type="dxa" w:w="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VM8</w:t>
            </w:r>
          </w:p>
        </w:tc>
        <w:tc>
          <w:tcPr>
            <w:tcW w:type="dxa" w:w="25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Canopy height</w:t>
            </w:r>
          </w:p>
        </w:tc>
        <w:tc>
          <w:tcPr>
            <w:tcW w:type="dxa" w:w="1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canopy_height</w:t>
            </w:r>
          </w:p>
        </w:tc>
        <w:tc>
          <w:tcPr>
            <w:tcW w:type="dxa" w:w="7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w:t>
            </w:r>
          </w:p>
        </w:tc>
        <w:tc>
          <w:tcPr>
            <w:tcW w:type="dxa" w:w="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t>
            </w:r>
          </w:p>
        </w:tc>
        <w:tc>
          <w:tcPr>
            <w:tcW w:type="dxa" w:w="30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Mean of the global canopy-height layer over the zone. Single epoch: structural STATE only, never structural change.</w:t>
            </w:r>
          </w:p>
        </w:tc>
      </w:tr>
      <w:tr>
        <w:tc>
          <w:tcPr>
            <w:tcW w:type="dxa" w:w="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VM9</w:t>
            </w:r>
          </w:p>
        </w:tc>
        <w:tc>
          <w:tcPr>
            <w:tcW w:type="dxa" w:w="25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Woody cover fraction</w:t>
            </w:r>
          </w:p>
        </w:tc>
        <w:tc>
          <w:tcPr>
            <w:tcW w:type="dxa" w:w="1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woody_fraction</w:t>
            </w:r>
          </w:p>
        </w:tc>
        <w:tc>
          <w:tcPr>
            <w:tcW w:type="dxa" w:w="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X</w:t>
            </w:r>
          </w:p>
        </w:tc>
        <w:tc>
          <w:tcPr>
            <w:tcW w:type="dxa" w:w="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t>
            </w:r>
          </w:p>
        </w:tc>
        <w:tc>
          <w:tcPr>
            <w:tcW w:type="dxa" w:w="30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Mean tree-class probability over the zone.</w:t>
            </w:r>
          </w:p>
        </w:tc>
      </w:tr>
      <w:tr>
        <w:tc>
          <w:tcPr>
            <w:tcW w:type="dxa" w:w="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VM10</w:t>
            </w:r>
          </w:p>
        </w:tc>
        <w:tc>
          <w:tcPr>
            <w:tcW w:type="dxa" w:w="25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Spectral diversity</w:t>
            </w:r>
          </w:p>
        </w:tc>
        <w:tc>
          <w:tcPr>
            <w:tcW w:type="dxa" w:w="1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spectral_diversity</w:t>
            </w:r>
          </w:p>
        </w:tc>
        <w:tc>
          <w:tcPr>
            <w:tcW w:type="dxa" w:w="7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X</w:t>
            </w:r>
          </w:p>
        </w:tc>
        <w:tc>
          <w:tcPr>
            <w:tcW w:type="dxa" w:w="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t>
            </w:r>
          </w:p>
        </w:tc>
        <w:tc>
          <w:tcPr>
            <w:tcW w:type="dxa" w:w="30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Standard deviation of annual-mean NDVI within a 70 m radius moving window, averaged over the zone. How varied the vegetation mosaic is. NOTE: this is a measure of DIFFERENCE between pixels, not an average of them — a site with eight crops scores high, a single field scores low, even at identical mean greenness. Also computed at 40 m and 100 m for SC17.</w:t>
            </w:r>
          </w:p>
        </w:tc>
      </w:tr>
      <w:tr>
        <w:tc>
          <w:tcPr>
            <w:tcW w:type="dxa" w:w="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VM11</w:t>
            </w:r>
          </w:p>
        </w:tc>
        <w:tc>
          <w:tcPr>
            <w:tcW w:type="dxa" w:w="25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Phenological asynchrony</w:t>
            </w:r>
          </w:p>
        </w:tc>
        <w:tc>
          <w:tcPr>
            <w:tcW w:type="dxa" w:w="1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pheno_asynchrony</w:t>
            </w:r>
          </w:p>
        </w:tc>
        <w:tc>
          <w:tcPr>
            <w:tcW w:type="dxa" w:w="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w:t>
            </w:r>
          </w:p>
        </w:tc>
        <w:tc>
          <w:tcPr>
            <w:tcW w:type="dxa" w:w="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t>
            </w:r>
          </w:p>
        </w:tc>
        <w:tc>
          <w:tcPr>
            <w:tcW w:type="dxa" w:w="30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Standard deviation, within the same window, of the month at which each pixel reaches peak NDVI. A polyculture greens at different times; a monoculture greens all at once. Same three window sizes as VM10.</w:t>
            </w:r>
          </w:p>
        </w:tc>
      </w:tr>
      <w:tr>
        <w:tc>
          <w:tcPr>
            <w:tcW w:type="dxa" w:w="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VM12</w:t>
            </w:r>
          </w:p>
        </w:tc>
        <w:tc>
          <w:tcPr>
            <w:tcW w:type="dxa" w:w="25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Edge density</w:t>
            </w:r>
          </w:p>
        </w:tc>
        <w:tc>
          <w:tcPr>
            <w:tcW w:type="dxa" w:w="1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edge_density</w:t>
            </w:r>
          </w:p>
        </w:tc>
        <w:tc>
          <w:tcPr>
            <w:tcW w:type="dxa" w:w="7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w:t>
            </w:r>
          </w:p>
        </w:tc>
        <w:tc>
          <w:tcPr>
            <w:tcW w:type="dxa" w:w="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t>
            </w:r>
          </w:p>
        </w:tc>
        <w:tc>
          <w:tcPr>
            <w:tcW w:type="dxa" w:w="30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Length of boundaries between land-cover classes per hectare, in the same window. Small diverse parcels give high edge density.</w:t>
            </w:r>
          </w:p>
        </w:tc>
      </w:tr>
      <w:tr>
        <w:tc>
          <w:tcPr>
            <w:tcW w:type="dxa" w:w="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VM13</w:t>
            </w:r>
          </w:p>
        </w:tc>
        <w:tc>
          <w:tcPr>
            <w:tcW w:type="dxa" w:w="25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Red-edge chlorophyll index</w:t>
            </w:r>
          </w:p>
        </w:tc>
        <w:tc>
          <w:tcPr>
            <w:tcW w:type="dxa" w:w="1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ndre_peak</w:t>
            </w:r>
          </w:p>
        </w:tc>
        <w:tc>
          <w:tcPr>
            <w:tcW w:type="dxa" w:w="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X</w:t>
            </w:r>
          </w:p>
        </w:tc>
        <w:tc>
          <w:tcPr>
            <w:tcW w:type="dxa" w:w="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t>
            </w:r>
          </w:p>
        </w:tc>
        <w:tc>
          <w:tcPr>
            <w:tcW w:type="dxa" w:w="30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NEW IN v3.1. Normalised difference red-edge, at peak season. Uses Sentinel-2’s red-edge band, which no earlier sensor had. Responds to leaf chlorophyll per unit canopy — how well NOURISHED the vegetation is — which is physically different from how MUCH vegetation there is.</w:t>
            </w:r>
          </w:p>
        </w:tc>
      </w:tr>
      <w:tr>
        <w:tc>
          <w:tcPr>
            <w:tcW w:type="dxa" w:w="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VM14</w:t>
            </w:r>
          </w:p>
        </w:tc>
        <w:tc>
          <w:tcPr>
            <w:tcW w:type="dxa" w:w="25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Seasonal decline rate, inverted</w:t>
            </w:r>
          </w:p>
        </w:tc>
        <w:tc>
          <w:tcPr>
            <w:tcW w:type="dxa" w:w="1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decline_rate</w:t>
            </w:r>
          </w:p>
        </w:tc>
        <w:tc>
          <w:tcPr>
            <w:tcW w:type="dxa" w:w="7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w:t>
            </w:r>
          </w:p>
        </w:tc>
        <w:tc>
          <w:tcPr>
            <w:tcW w:type="dxa" w:w="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YES</w:t>
            </w:r>
          </w:p>
        </w:tc>
        <w:tc>
          <w:tcPr>
            <w:tcW w:type="dxa" w:w="30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NEW IN v3.1. Steepest month-to-month fall in NDVI on the descending limb of the fitted curve, sign-inverted so a SLOW decline scores higher. A mulched, deep-rooted, water-retentive system browns gradually; a shallow annual monoculture crashes.</w:t>
            </w:r>
          </w:p>
        </w:tc>
      </w:tr>
      <w:tr>
        <w:tc>
          <w:tcPr>
            <w:tcW w:type="dxa" w:w="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CA</w:t>
            </w:r>
          </w:p>
        </w:tc>
        <w:tc>
          <w:tcPr>
            <w:tcW w:type="dxa" w:w="25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Contour alignment — SUPPLEMENTARY, NOT IN VCI</w:t>
            </w:r>
          </w:p>
        </w:tc>
        <w:tc>
          <w:tcPr>
            <w:tcW w:type="dxa" w:w="1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contour_alignment</w:t>
            </w:r>
          </w:p>
        </w:tc>
        <w:tc>
          <w:tcPr>
            <w:tcW w:type="dxa" w:w="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w:t>
            </w:r>
          </w:p>
        </w:tc>
        <w:tc>
          <w:tcPr>
            <w:tcW w:type="dxa" w:w="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t>
            </w:r>
          </w:p>
        </w:tc>
        <w:tc>
          <w:tcPr>
            <w:tcW w:type="dxa" w:w="30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NEW IN v3.3. How closely land-cover boundaries follow the terrain contour. Swales, keyline planting and contour hedgerows are placed on contour by design; mechanised field boundaries ignore terrain. The most practice-specific measurement available — but it returns NULL on flat ground, where aspect is undefined, so it stays OUTSIDE the index and is used only in check SC15 (§9.5).</w:t>
            </w:r>
          </w:p>
        </w:tc>
      </w:tr>
    </w:tbl>
    <w:p>
      <w:pPr>
        <w:spacing w:after="120"/>
      </w:pP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6620"/>
      </w:tblGrid>
      <w:tr>
        <w:trPr>
          <w:tblHeader/>
        </w:trPr>
        <w:tc>
          <w:tcPr>
            <w:tcW w:type="dxa" w:w="24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Dimension</w:t>
            </w:r>
          </w:p>
        </w:tc>
        <w:tc>
          <w:tcPr>
            <w:tcW w:type="dxa" w:w="66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Metrics it contains</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Productivity (VCI-P)</w:t>
            </w:r>
          </w:p>
        </w:tc>
        <w:tc>
          <w:tcPr>
            <w:tcW w:type="dxa" w:w="6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VM1 kNDVI seasonal integral; VM2 NDVI peak-season maximum; VM13 red-edge chlorophyll index</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Persistence (VCI-S)</w:t>
            </w:r>
          </w:p>
        </w:tc>
        <w:tc>
          <w:tcPr>
            <w:tcW w:type="dxa" w:w="6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VM3 dry-season minimum NDVI; VM4 dry-season NDMI; VM5 green cover duration; VM6 bare-ground fraction (inverted); VM7 interannual variability (inverted); VM14 seasonal decline rate (inverted)</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Structure (VCI-T)</w:t>
            </w:r>
          </w:p>
        </w:tc>
        <w:tc>
          <w:tcPr>
            <w:tcW w:type="dxa" w:w="6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VM8 canopy height; VM9 woody cover fraction</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Configuration (VCI-C)</w:t>
            </w:r>
          </w:p>
        </w:tc>
        <w:tc>
          <w:tcPr>
            <w:tcW w:type="dxa" w:w="6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VM10 spectral diversity; VM11 phenological asynchrony; VM12 edge density</w:t>
            </w:r>
          </w:p>
        </w:tc>
      </w:tr>
    </w:tbl>
    <w:p>
      <w:pPr>
        <w:spacing w:after="140"/>
      </w:pPr>
    </w:p>
    <w:tbl>
      <w:tblPr>
        <w:tblW w:type="dxa" w:w="9020"/>
        <w:tblBorders>
          <w:top w:val="none" w:color="FFFFFF" w:sz="0"/>
          <w:left w:val="single" w:color="2E5496" w:sz="18"/>
          <w:bottom w:val="none" w:color="FFFFFF" w:sz="0"/>
          <w:right w:val="none" w:color="FFFFFF" w:sz="0"/>
          <w:insideH w:val="none" w:color="FFFFFF" w:sz="0"/>
          <w:insideV w:val="none" w:color="FFFFFF" w:sz="0"/>
        </w:tblBorders>
      </w:tblPr>
      <w:tblGrid>
        <w:gridCol w:w="9020"/>
      </w:tblGrid>
      <w:tr>
        <w:tc>
          <w:tcPr>
            <w:tcW w:type="dxa" w:w="9020"/>
            <w:shd w:fill="EAF1FB" w:color="auto" w:val="clear"/>
            <w:tcMar>
              <w:top w:type="dxa" w:w="150"/>
              <w:left w:type="dxa" w:w="180"/>
              <w:bottom w:type="dxa" w:w="150"/>
              <w:right w:type="dxa" w:w="180"/>
            </w:tcMar>
          </w:tcPr>
          <w:p>
            <w:pPr>
              <w:spacing w:after="90"/>
            </w:pPr>
            <w:r>
              <w:rPr>
                <w:rFonts w:ascii="Calibri" w:cs="Calibri" w:eastAsia="Calibri" w:hAnsi="Calibri"/>
                <w:b/>
                <w:bCs/>
                <w:color w:val="2E5496"/>
                <w:sz w:val="21"/>
                <w:szCs w:val="21"/>
              </w:rPr>
              <w:t xml:space="preserve">Why fourteen metrics and not forty — the question is signals, not indices</w:t>
            </w:r>
          </w:p>
          <w:p>
            <w:pPr>
              <w:spacing w:after="90" w:line="276"/>
              <w:jc w:val="both"/>
            </w:pPr>
            <w:r>
              <w:rPr>
                <w:rFonts w:ascii="Calibri" w:cs="Calibri" w:eastAsia="Calibri" w:hAnsi="Calibri"/>
                <w:sz w:val="20"/>
                <w:szCs w:val="20"/>
              </w:rPr>
              <w:t xml:space="preserve">Sentinel-2 supports dozens of vegetation indices. Adding them would not make the study stronger, because most of them measure the SAME THING. EVI, GNDVI, ARVI, TVI and the rest correlate above 0.9 with NDVI. The redundancy check of §6.7 would delete them, and if it did not they would break the geometric mean by letting one signal count four times over.</w:t>
            </w:r>
          </w:p>
          <w:p>
            <w:pPr>
              <w:spacing w:after="90" w:line="276"/>
              <w:jc w:val="both"/>
            </w:pPr>
            <w:r>
              <w:rPr>
                <w:rFonts w:ascii="Calibri" w:cs="Calibri" w:eastAsia="Calibri" w:hAnsi="Calibri"/>
                <w:sz w:val="20"/>
                <w:szCs w:val="20"/>
              </w:rPr>
              <w:t xml:space="preserve">What matters is how many INDEPENDENT SIGNALS the set carries. These fourteen carry eight: energy capture, leaf nourishment, canopy water, soil exposure, vertical structure, spatial pattern, temporal stability and seasonal behaviour. Eight signals from fourteen metrics is a defensible ratio; eight signals from forty metrics would not be.</w:t>
            </w:r>
          </w:p>
          <w:p>
            <w:pPr>
              <w:spacing w:after="90" w:line="276"/>
              <w:jc w:val="both"/>
            </w:pPr>
            <w:r>
              <w:rPr>
                <w:rFonts w:ascii="Calibri" w:cs="Calibri" w:eastAsia="Calibri" w:hAnsi="Calibri"/>
                <w:sz w:val="20"/>
                <w:szCs w:val="20"/>
              </w:rPr>
              <w:t xml:space="preserve">Version 3.1 added exactly two, and only because each carries a signal nothing else in the set carries. VM13 uses the RED-EDGE bands — Sentinel-2’s single greatest advantage over Landsat, and entirely unused before now. VM14 measures seasonal TIMING rather than seasonal DURATION, which VM5 already covers.</w:t>
            </w:r>
          </w:p>
          <w:p>
            <w:pPr>
              <w:spacing w:after="90" w:line="276"/>
              <w:jc w:val="both"/>
            </w:pPr>
            <w:r>
              <w:rPr>
                <w:rFonts w:ascii="Calibri" w:cs="Calibri" w:eastAsia="Calibri" w:hAnsi="Calibri"/>
                <w:sz w:val="20"/>
                <w:szCs w:val="20"/>
              </w:rPr>
              <w:t xml:space="preserve">The test for any further metric is simple: does it correlate above 0.85 with something already in the set? If so it is decoration, and §6.7 will remove it anyway.</w:t>
            </w:r>
          </w:p>
        </w:tc>
      </w:tr>
    </w:tbl>
    <w:p>
      <w:pPr>
        <w:spacing w:after="140"/>
      </w:pPr>
    </w:p>
    <w:tbl>
      <w:tblPr>
        <w:tblW w:type="dxa" w:w="9020"/>
        <w:tblBorders>
          <w:top w:val="none" w:color="FFFFFF" w:sz="0"/>
          <w:left w:val="single" w:color="C0504D" w:sz="18"/>
          <w:bottom w:val="none" w:color="FFFFFF" w:sz="0"/>
          <w:right w:val="none" w:color="FFFFFF" w:sz="0"/>
          <w:insideH w:val="none" w:color="FFFFFF" w:sz="0"/>
          <w:insideV w:val="none" w:color="FFFFFF" w:sz="0"/>
        </w:tblBorders>
      </w:tblPr>
      <w:tblGrid>
        <w:gridCol w:w="9020"/>
      </w:tblGrid>
      <w:tr>
        <w:tc>
          <w:tcPr>
            <w:tcW w:type="dxa" w:w="9020"/>
            <w:shd w:fill="FDECEC" w:color="auto" w:val="clear"/>
            <w:tcMar>
              <w:top w:type="dxa" w:w="150"/>
              <w:left w:type="dxa" w:w="180"/>
              <w:bottom w:type="dxa" w:w="150"/>
              <w:right w:type="dxa" w:w="180"/>
            </w:tcMar>
          </w:tcPr>
          <w:p>
            <w:pPr>
              <w:spacing w:after="90"/>
            </w:pPr>
            <w:r>
              <w:rPr>
                <w:rFonts w:ascii="Calibri" w:cs="Calibri" w:eastAsia="Calibri" w:hAnsi="Calibri"/>
                <w:b/>
                <w:bCs/>
                <w:color w:val="C0504D"/>
                <w:sz w:val="21"/>
                <w:szCs w:val="21"/>
              </w:rPr>
              <w:t xml:space="preserve">What ten-metre pixels can and cannot see — read this before writing about permaculture</w:t>
            </w:r>
          </w:p>
          <w:p>
            <w:pPr>
              <w:spacing w:after="90" w:line="276"/>
              <w:jc w:val="both"/>
            </w:pPr>
            <w:r>
              <w:rPr>
                <w:rFonts w:ascii="Calibri" w:cs="Calibri" w:eastAsia="Calibri" w:hAnsi="Calibri"/>
                <w:sz w:val="20"/>
                <w:szCs w:val="20"/>
              </w:rPr>
              <w:t xml:space="preserve">THE STUDY SEES FIELD-SCALE GEOMETRY, NOT ELEMENT-SCALE DESIGN. This sentence belongs in the thesis, because it is the first objection a permaculture-literate reader will raise, and answering it in advance is far cheaper than answering it in review.</w:t>
            </w:r>
          </w:p>
          <w:p>
            <w:pPr>
              <w:spacing w:after="90" w:line="276"/>
              <w:jc w:val="both"/>
            </w:pPr>
            <w:r>
              <w:rPr>
                <w:rFonts w:ascii="Calibri" w:cs="Calibri" w:eastAsia="Calibri" w:hAnsi="Calibri"/>
                <w:sz w:val="20"/>
                <w:szCs w:val="20"/>
              </w:rPr>
              <w:t xml:space="preserve">VISIBLE: a food forest block, a multi-strata planting, a market-garden bed system, a diversified small-parcel mosaic, a pond, revegetated bare ground, an orchard. All of these are 20 metres across or more, so they occupy several pixels and register in VM8, VM9, VM10, VM11 and VM12.</w:t>
            </w:r>
          </w:p>
          <w:p>
            <w:pPr>
              <w:spacing w:after="90" w:line="276"/>
              <w:jc w:val="both"/>
            </w:pPr>
            <w:r>
              <w:rPr>
                <w:rFonts w:ascii="Calibri" w:cs="Calibri" w:eastAsia="Calibri" w:hAnsi="Calibri"/>
                <w:sz w:val="20"/>
                <w:szCs w:val="20"/>
              </w:rPr>
              <w:t xml:space="preserve">NOT VISIBLE: a hedgerow 2 to 4 metres wide, a swale 1 to 3 metres wide, a herb spiral, a keyhole bed, a mandala garden, a guild planting, companion arrangements. Every one of these is smaller than a single pixel. A community can implement permaculture beautifully at the bed scale and be entirely invisible to this study.</w:t>
            </w:r>
          </w:p>
          <w:p>
            <w:pPr>
              <w:spacing w:after="90" w:line="276"/>
              <w:jc w:val="both"/>
            </w:pPr>
            <w:r>
              <w:rPr>
                <w:rFonts w:ascii="Calibri" w:cs="Calibri" w:eastAsia="Calibri" w:hAnsi="Calibri"/>
                <w:sz w:val="20"/>
                <w:szCs w:val="20"/>
              </w:rPr>
              <w:t xml:space="preserve">The consequence for interpretation: a null result for a small community is at least as likely to mean "the design is below the resolution" as "the design did not work". Say so. The one partial exception is CONTOUR ALIGNMENT, which detects that boundaries FOLLOW the terrain even when the swale itself is sub-pixel — which is exactly why it was restored in version 3.3 (§9.5).</w:t>
            </w:r>
          </w:p>
        </w:tc>
      </w:tr>
    </w:tbl>
    <w:p>
      <w:pPr>
        <w:spacing w:after="140"/>
      </w:pPr>
    </w:p>
    <w:p>
      <w:pPr>
        <w:pStyle w:val="Heading2"/>
        <w:spacing w:after="130" w:before="280"/>
      </w:pPr>
      <w:r>
        <w:rPr>
          <w:rFonts w:ascii="Calibri" w:cs="Calibri" w:eastAsia="Calibri" w:hAnsi="Calibri"/>
          <w:b/>
          <w:bCs/>
          <w:color w:val="2E5496"/>
          <w:sz w:val="25"/>
          <w:szCs w:val="25"/>
        </w:rPr>
        <w:t xml:space="preserve">3.4  The three provisioning capacity metrics — exact names</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800"/>
        <w:gridCol w:w="2500"/>
        <w:gridCol w:w="1600"/>
        <w:gridCol w:w="700"/>
        <w:gridCol w:w="3420"/>
      </w:tblGrid>
      <w:tr>
        <w:trPr>
          <w:tblHeader/>
        </w:trPr>
        <w:tc>
          <w:tcPr>
            <w:tcW w:type="dxa" w:w="8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Code</w:t>
            </w:r>
          </w:p>
        </w:tc>
        <w:tc>
          <w:tcPr>
            <w:tcW w:type="dxa" w:w="25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Full name</w:t>
            </w:r>
          </w:p>
        </w:tc>
        <w:tc>
          <w:tcPr>
            <w:tcW w:type="dxa" w:w="16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Field name</w:t>
            </w:r>
          </w:p>
        </w:tc>
        <w:tc>
          <w:tcPr>
            <w:tcW w:type="dxa" w:w="7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Class</w:t>
            </w:r>
          </w:p>
        </w:tc>
        <w:tc>
          <w:tcPr>
            <w:tcW w:type="dxa" w:w="34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What it is</w:t>
            </w:r>
          </w:p>
        </w:tc>
      </w:tr>
      <w:tr>
        <w:tc>
          <w:tcPr>
            <w:tcW w:type="dxa" w:w="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PM1</w:t>
            </w:r>
          </w:p>
        </w:tc>
        <w:tc>
          <w:tcPr>
            <w:tcW w:type="dxa" w:w="25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Managed productive area fraction</w:t>
            </w:r>
          </w:p>
        </w:tc>
        <w:tc>
          <w:tcPr>
            <w:tcW w:type="dxa" w:w="1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productive_fraction</w:t>
            </w:r>
          </w:p>
        </w:tc>
        <w:tc>
          <w:tcPr>
            <w:tcW w:type="dxa" w:w="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w:t>
            </w:r>
          </w:p>
        </w:tc>
        <w:tc>
          <w:tcPr>
            <w:tcW w:type="dxa" w:w="3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Sum of crop-class and grass-class probabilities over the FULL zone, unmasked. The extent component: how much of the zone is productive land.</w:t>
            </w:r>
          </w:p>
        </w:tc>
      </w:tr>
      <w:tr>
        <w:tc>
          <w:tcPr>
            <w:tcW w:type="dxa" w:w="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PM2</w:t>
            </w:r>
          </w:p>
        </w:tc>
        <w:tc>
          <w:tcPr>
            <w:tcW w:type="dxa" w:w="25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Cropping cycles per vegetation year</w:t>
            </w:r>
          </w:p>
        </w:tc>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cropping_cycles</w:t>
            </w:r>
          </w:p>
        </w:tc>
        <w:tc>
          <w:tcPr>
            <w:tcW w:type="dxa" w:w="7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w:t>
            </w:r>
          </w:p>
        </w:tc>
        <w:tc>
          <w:tcPr>
            <w:tcW w:type="dxa" w:w="3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Number of complete green-up and senescence cycles in the twelve-month NDVI series. A direct observable of cropping intensity.</w:t>
            </w:r>
          </w:p>
        </w:tc>
      </w:tr>
      <w:tr>
        <w:tc>
          <w:tcPr>
            <w:tcW w:type="dxa" w:w="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PM3</w:t>
            </w:r>
          </w:p>
        </w:tc>
        <w:tc>
          <w:tcPr>
            <w:tcW w:type="dxa" w:w="25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Productive-season energy capture</w:t>
            </w:r>
          </w:p>
        </w:tc>
        <w:tc>
          <w:tcPr>
            <w:tcW w:type="dxa" w:w="1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productive_energy</w:t>
            </w:r>
          </w:p>
        </w:tc>
        <w:tc>
          <w:tcPr>
            <w:tcW w:type="dxa" w:w="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X</w:t>
            </w:r>
          </w:p>
        </w:tc>
        <w:tc>
          <w:tcPr>
            <w:tcW w:type="dxa" w:w="3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kNDVI integral restricted to pixels classed as crop or grass. Distinguishes a productive hectare from a merely vegetated one.</w:t>
            </w:r>
          </w:p>
        </w:tc>
      </w:tr>
    </w:tbl>
    <w:p>
      <w:pPr>
        <w:spacing w:after="140"/>
      </w:pPr>
    </w:p>
    <w:p>
      <w:pPr>
        <w:pStyle w:val="Heading2"/>
        <w:spacing w:after="130" w:before="280"/>
      </w:pPr>
      <w:r>
        <w:rPr>
          <w:rFonts w:ascii="Calibri" w:cs="Calibri" w:eastAsia="Calibri" w:hAnsi="Calibri"/>
          <w:b/>
          <w:bCs/>
          <w:color w:val="2E5496"/>
          <w:sz w:val="25"/>
          <w:szCs w:val="25"/>
        </w:rPr>
        <w:t xml:space="preserve">3.5  Independent variables — exact names</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1300"/>
        <w:gridCol w:w="2200"/>
        <w:gridCol w:w="1600"/>
        <w:gridCol w:w="1300"/>
        <w:gridCol w:w="2620"/>
      </w:tblGrid>
      <w:tr>
        <w:trPr>
          <w:tblHeader/>
        </w:trPr>
        <w:tc>
          <w:tcPr>
            <w:tcW w:type="dxa" w:w="13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Symbol</w:t>
            </w:r>
          </w:p>
        </w:tc>
        <w:tc>
          <w:tcPr>
            <w:tcW w:type="dxa" w:w="22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Full name</w:t>
            </w:r>
          </w:p>
        </w:tc>
        <w:tc>
          <w:tcPr>
            <w:tcW w:type="dxa" w:w="16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Field name</w:t>
            </w:r>
          </w:p>
        </w:tc>
        <w:tc>
          <w:tcPr>
            <w:tcW w:type="dxa" w:w="13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Type</w:t>
            </w:r>
          </w:p>
        </w:tc>
        <w:tc>
          <w:tcPr>
            <w:tcW w:type="dxa" w:w="26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Definition and use</w:t>
            </w:r>
          </w:p>
        </w:tc>
      </w:tr>
      <w:tr>
        <w:tc>
          <w:tcPr>
            <w:tcW w:type="dxa" w:w="13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SITE_TYPE</w:t>
            </w:r>
          </w:p>
        </w:tc>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Site type</w:t>
            </w:r>
          </w:p>
        </w:tc>
        <w:tc>
          <w:tcPr>
            <w:tcW w:type="dxa" w:w="1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site_type</w:t>
            </w:r>
          </w:p>
        </w:tc>
        <w:tc>
          <w:tcPr>
            <w:tcW w:type="dxa" w:w="13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binary</w:t>
            </w:r>
          </w:p>
        </w:tc>
        <w:tc>
          <w:tcPr>
            <w:tcW w:type="dxa" w:w="2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Intentional settlement = 1, matched conventional control = 0. THE independent variable. Its coefficient in analysis A1 is the study’s answer.</w:t>
            </w:r>
          </w:p>
        </w:tc>
      </w:tr>
      <w:tr>
        <w:tc>
          <w:tcPr>
            <w:tcW w:type="dxa" w:w="13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ONSET_AGE</w:t>
            </w:r>
          </w:p>
        </w:tc>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Years since intervention onset</w:t>
            </w:r>
          </w:p>
        </w:tc>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onset_age</w:t>
            </w:r>
          </w:p>
        </w:tc>
        <w:tc>
          <w:tcPr>
            <w:tcW w:type="dxa" w:w="13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continuous, years</w:t>
            </w:r>
          </w:p>
        </w:tc>
        <w:tc>
          <w:tcPr>
            <w:tcW w:type="dxa" w:w="2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Study-window midpoint (2022) minus the year deliberate ecological intervention began. NOT the founding year. Carries H4.</w:t>
            </w:r>
          </w:p>
        </w:tc>
      </w:tr>
      <w:tr>
        <w:tc>
          <w:tcPr>
            <w:tcW w:type="dxa" w:w="13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RING</w:t>
            </w:r>
          </w:p>
        </w:tc>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Ring distance band</w:t>
            </w:r>
          </w:p>
        </w:tc>
        <w:tc>
          <w:tcPr>
            <w:tcW w:type="dxa" w:w="1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ring</w:t>
            </w:r>
          </w:p>
        </w:tc>
        <w:tc>
          <w:tcPr>
            <w:tcW w:type="dxa" w:w="13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ordered, 5 levels</w:t>
            </w:r>
          </w:p>
        </w:tc>
        <w:tc>
          <w:tcPr>
            <w:tcW w:type="dxa" w:w="2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0–50, 50–100, 100–150, 150–250, 250–500 m. Carries H3, and comes free with the extraction.</w:t>
            </w:r>
          </w:p>
        </w:tc>
      </w:tr>
      <w:tr>
        <w:tc>
          <w:tcPr>
            <w:tcW w:type="dxa" w:w="13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MANAGED_AREA</w:t>
            </w:r>
          </w:p>
        </w:tc>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Land the community actively works</w:t>
            </w:r>
          </w:p>
        </w:tc>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managed_area_ha</w:t>
            </w:r>
          </w:p>
        </w:tc>
        <w:tc>
          <w:tcPr>
            <w:tcW w:type="dxa" w:w="13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continuous, hectares</w:t>
            </w:r>
          </w:p>
        </w:tc>
        <w:tc>
          <w:tcPr>
            <w:tcW w:type="dxa" w:w="2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NEW ROLE IN v3.4. Coded in Stage 1 from published sources. It does TWO jobs now: it assigns the size class that sets the measurement radius, and it is the predictor in analysis A9. Log-transformed in A9, because the range spans two orders of magnitude.</w:t>
            </w:r>
          </w:p>
        </w:tc>
      </w:tr>
      <w:tr>
        <w:tc>
          <w:tcPr>
            <w:tcW w:type="dxa" w:w="13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SIZE_CLASS</w:t>
            </w:r>
          </w:p>
        </w:tc>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Reference-circle size class</w:t>
            </w:r>
          </w:p>
        </w:tc>
        <w:tc>
          <w:tcPr>
            <w:tcW w:type="dxa" w:w="1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size_class</w:t>
            </w:r>
          </w:p>
        </w:tc>
        <w:tc>
          <w:tcPr>
            <w:tcW w:type="dxa" w:w="13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5 levels</w:t>
            </w:r>
          </w:p>
        </w:tc>
        <w:tc>
          <w:tcPr>
            <w:tcW w:type="dxa" w:w="2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r75 / r110 / r150 / r210 / r300. SINCE v3.6 IT NO LONGER SETS THE MEASUREMENT AREA — the drawn polygon does that. It does one job only: it says which of the five reference-circle sizes a site is rescaled against, chosen as whichever is closest in AREA to that site’s polygon (§0.4). NEVER derived from Earth Engine data, which would be circular. Assigned in Stage 1, frozen before any index value exists.</w:t>
            </w:r>
          </w:p>
        </w:tc>
      </w:tr>
      <w:tr>
        <w:tc>
          <w:tcPr>
            <w:tcW w:type="dxa" w:w="13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SIZE_CLASS_CONFIDENCE</w:t>
            </w:r>
          </w:p>
        </w:tc>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How the class was reached</w:t>
            </w:r>
          </w:p>
        </w:tc>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size_class_confidence</w:t>
            </w:r>
          </w:p>
        </w:tc>
        <w:tc>
          <w:tcPr>
            <w:tcW w:type="dxa" w:w="13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3 levels</w:t>
            </w:r>
          </w:p>
        </w:tc>
        <w:tc>
          <w:tcPr>
            <w:tcW w:type="dxa" w:w="2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NEW IN v3.5. A = both routes agree · B = one route only, or a one-class disagreement resolved to the visual figure · C = unresolved, defaulted to 150 m. Sensitivity check SC16 restricts to tier A.</w:t>
            </w:r>
          </w:p>
        </w:tc>
      </w:tr>
      <w:tr>
        <w:tc>
          <w:tcPr>
            <w:tcW w:type="dxa" w:w="13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POLYGON_AREA</w:t>
            </w:r>
          </w:p>
        </w:tc>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Area of the drawn polygon</w:t>
            </w:r>
          </w:p>
        </w:tc>
        <w:tc>
          <w:tcPr>
            <w:tcW w:type="dxa" w:w="1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polygon_area_ha</w:t>
            </w:r>
          </w:p>
        </w:tc>
        <w:tc>
          <w:tcPr>
            <w:tcW w:type="dxa" w:w="13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continuous, hectares</w:t>
            </w:r>
          </w:p>
        </w:tc>
        <w:tc>
          <w:tcPr>
            <w:tcW w:type="dxa" w:w="2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NEW IN v3.6, and it REPLACES the traced extent of v3.5. The area enclosed by the polygon you draw around a community’s managed land, from STRUCTURAL features and never from colour (§7.1a). It defines the measurement area itself, picks the reference-circle size, and is the predictor in analysis A9. Minimum 1.0 ha; below that the site falls back to a 75 m circle and is flagged.</w:t>
            </w:r>
          </w:p>
        </w:tc>
      </w:tr>
      <w:tr>
        <w:tc>
          <w:tcPr>
            <w:tcW w:type="dxa" w:w="13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POLYGON_IOU</w:t>
            </w:r>
          </w:p>
        </w:tc>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Drawing repeatability</w:t>
            </w:r>
          </w:p>
        </w:tc>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polygon_iou</w:t>
            </w:r>
          </w:p>
        </w:tc>
        <w:tc>
          <w:tcPr>
            <w:tcW w:type="dxa" w:w="13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 to 1</w:t>
            </w:r>
          </w:p>
        </w:tc>
        <w:tc>
          <w:tcPr>
            <w:tcW w:type="dxa" w:w="2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NEW IN v3.6. Overlap between your first and second drawing of the same site, from the 20 per cent redraw. This is the reliability statistic for the polygon and the methods chapter needs it. Report the mean and the proportion below 0.80.</w:t>
            </w:r>
          </w:p>
        </w:tc>
      </w:tr>
      <w:tr>
        <w:tc>
          <w:tcPr>
            <w:tcW w:type="dxa" w:w="13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PC01…PC13</w:t>
            </w:r>
          </w:p>
        </w:tc>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Practice codes, thirteen</w:t>
            </w:r>
          </w:p>
        </w:tc>
        <w:tc>
          <w:tcPr>
            <w:tcW w:type="dxa" w:w="1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pc_no_till, pc_mulching, …</w:t>
            </w:r>
          </w:p>
        </w:tc>
        <w:tc>
          <w:tcPr>
            <w:tcW w:type="dxa" w:w="13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5-level categorical</w:t>
            </w:r>
          </w:p>
        </w:tc>
        <w:tc>
          <w:tcPr>
            <w:tcW w:type="dxa" w:w="2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Each coded evidenced / documented / claimed / explicitly absent / not mentioned. Carries H6. Full list in §3.10.</w:t>
            </w:r>
          </w:p>
        </w:tc>
      </w:tr>
    </w:tbl>
    <w:p>
      <w:pPr>
        <w:spacing w:after="120"/>
      </w:pPr>
    </w:p>
    <w:p>
      <w:pPr>
        <w:spacing w:after="120" w:line="276"/>
        <w:jc w:val="both"/>
      </w:pPr>
      <w:r>
        <w:rPr>
          <w:rFonts w:ascii="Calibri" w:cs="Calibri" w:eastAsia="Calibri" w:hAnsi="Calibri"/>
          <w:b/>
          <w:bCs/>
          <w:i w:val="false"/>
          <w:iCs w:val="false"/>
          <w:color w:val="000000"/>
          <w:sz w:val="21"/>
          <w:szCs w:val="21"/>
        </w:rPr>
        <w:t xml:space="preserve">One rule about the practice codes that is easy to get wrong. </w:t>
      </w:r>
      <w:r>
        <w:rPr>
          <w:rFonts w:ascii="Calibri" w:cs="Calibri" w:eastAsia="Calibri" w:hAnsi="Calibri"/>
          <w:b w:val="false"/>
          <w:bCs w:val="false"/>
          <w:i w:val="false"/>
          <w:iCs w:val="false"/>
          <w:color w:val="000000"/>
          <w:sz w:val="21"/>
          <w:szCs w:val="21"/>
        </w:rPr>
        <w:t xml:space="preserve">"Not mentioned" is NOT "explicitly absent". Communities describe what they consider notable; treating silence as absence records communication style as practice, and does so in a direction that correlates with how well organised a community is.</w:t>
      </w:r>
    </w:p>
    <w:p>
      <w:pPr>
        <w:pStyle w:val="Heading2"/>
        <w:spacing w:after="130" w:before="280"/>
      </w:pPr>
      <w:r>
        <w:rPr>
          <w:rFonts w:ascii="Calibri" w:cs="Calibri" w:eastAsia="Calibri" w:hAnsi="Calibri"/>
          <w:b/>
          <w:bCs/>
          <w:color w:val="2E5496"/>
          <w:sz w:val="25"/>
          <w:szCs w:val="25"/>
        </w:rPr>
        <w:t xml:space="preserve">3.6  Mediators — and an honest caution</w:t>
      </w:r>
    </w:p>
    <w:p>
      <w:pPr>
        <w:spacing w:after="120" w:line="276"/>
        <w:jc w:val="both"/>
      </w:pPr>
      <w:r>
        <w:rPr>
          <w:rFonts w:ascii="Calibri" w:cs="Calibri" w:eastAsia="Calibri" w:hAnsi="Calibri"/>
          <w:b w:val="false"/>
          <w:bCs w:val="false"/>
          <w:i w:val="false"/>
          <w:iCs w:val="false"/>
          <w:color w:val="000000"/>
          <w:sz w:val="21"/>
          <w:szCs w:val="21"/>
        </w:rPr>
        <w:t xml:space="preserve">A mediator sits between cause and outcome: being an intentional community leads to adopting certain practices, which leads to better vegetation condition. Two candidates exist here.</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1500"/>
        <w:gridCol w:w="2400"/>
        <w:gridCol w:w="5120"/>
      </w:tblGrid>
      <w:tr>
        <w:trPr>
          <w:tblHeader/>
        </w:trPr>
        <w:tc>
          <w:tcPr>
            <w:tcW w:type="dxa" w:w="15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Symbol</w:t>
            </w:r>
          </w:p>
        </w:tc>
        <w:tc>
          <w:tcPr>
            <w:tcW w:type="dxa" w:w="24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Candidate mediator</w:t>
            </w:r>
          </w:p>
        </w:tc>
        <w:tc>
          <w:tcPr>
            <w:tcW w:type="dxa" w:w="51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How it is handled</w:t>
            </w:r>
          </w:p>
        </w:tc>
      </w:tr>
      <w:tr>
        <w:tc>
          <w:tcPr>
            <w:tcW w:type="dxa" w:w="15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MED1</w:t>
            </w:r>
          </w:p>
        </w:tc>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Practice adoption</w:t>
            </w:r>
          </w:p>
        </w:tc>
        <w:tc>
          <w:tcPr>
            <w:tcW w:type="dxa" w:w="51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Intentional community → adopts no-till, agroforestry, water harvesting → condition improves. Examined by comparing settlements that claim a practice against settlements that do not, on the signature that practice predicts (analysis A6).</w:t>
            </w:r>
          </w:p>
        </w:tc>
      </w:tr>
      <w:tr>
        <w:tc>
          <w:tcPr>
            <w:tcW w:type="dxa" w:w="15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MED2</w:t>
            </w:r>
          </w:p>
        </w:tc>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Land-cover composition</w:t>
            </w:r>
          </w:p>
        </w:tc>
        <w:tc>
          <w:tcPr>
            <w:tcW w:type="dxa" w:w="51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Intentional community → converts land cover → condition changes. Examined by reporting LCC alongside VCI, and by sensitivity check SC2.</w:t>
            </w:r>
          </w:p>
        </w:tc>
      </w:tr>
    </w:tbl>
    <w:p>
      <w:pPr>
        <w:spacing w:after="120"/>
      </w:pPr>
    </w:p>
    <w:tbl>
      <w:tblPr>
        <w:tblW w:type="dxa" w:w="9020"/>
        <w:tblBorders>
          <w:top w:val="none" w:color="FFFFFF" w:sz="0"/>
          <w:left w:val="single" w:color="C0504D" w:sz="18"/>
          <w:bottom w:val="none" w:color="FFFFFF" w:sz="0"/>
          <w:right w:val="none" w:color="FFFFFF" w:sz="0"/>
          <w:insideH w:val="none" w:color="FFFFFF" w:sz="0"/>
          <w:insideV w:val="none" w:color="FFFFFF" w:sz="0"/>
        </w:tblBorders>
      </w:tblPr>
      <w:tblGrid>
        <w:gridCol w:w="9020"/>
      </w:tblGrid>
      <w:tr>
        <w:tc>
          <w:tcPr>
            <w:tcW w:type="dxa" w:w="9020"/>
            <w:shd w:fill="FDECEC" w:color="auto" w:val="clear"/>
            <w:tcMar>
              <w:top w:type="dxa" w:w="150"/>
              <w:left w:type="dxa" w:w="180"/>
              <w:bottom w:type="dxa" w:w="150"/>
              <w:right w:type="dxa" w:w="180"/>
            </w:tcMar>
          </w:tcPr>
          <w:p>
            <w:pPr>
              <w:spacing w:after="90"/>
            </w:pPr>
            <w:r>
              <w:rPr>
                <w:rFonts w:ascii="Calibri" w:cs="Calibri" w:eastAsia="Calibri" w:hAnsi="Calibri"/>
                <w:b/>
                <w:bCs/>
                <w:color w:val="C0504D"/>
                <w:sz w:val="21"/>
                <w:szCs w:val="21"/>
              </w:rPr>
              <w:t xml:space="preserve">Do not run a formal mediation analysis</w:t>
            </w:r>
          </w:p>
          <w:p>
            <w:pPr>
              <w:spacing w:after="90" w:line="276"/>
              <w:jc w:val="both"/>
            </w:pPr>
            <w:r>
              <w:rPr>
                <w:rFonts w:ascii="Calibri" w:cs="Calibri" w:eastAsia="Calibri" w:hAnsi="Calibri"/>
                <w:sz w:val="20"/>
                <w:szCs w:val="20"/>
              </w:rPr>
              <w:t xml:space="preserve">Formal mediation requires three things this design cannot supply: no unmeasured confounding of the mediator–outcome relationship, correct temporal ordering, and a mediator measured without error. Practice codes carry known self-report bias, the ordering is inferred rather than observed, and confounders of the practice–condition relationship are numerous and unmeasured.</w:t>
            </w:r>
          </w:p>
          <w:p>
            <w:pPr>
              <w:spacing w:after="90" w:line="276"/>
              <w:jc w:val="both"/>
            </w:pPr>
            <w:r>
              <w:rPr>
                <w:rFonts w:ascii="Calibri" w:cs="Calibri" w:eastAsia="Calibri" w:hAnsi="Calibri"/>
                <w:sz w:val="20"/>
                <w:szCs w:val="20"/>
              </w:rPr>
              <w:t xml:space="preserve">What to do instead, and what this plan asks: report both relationships descriptively. Settlements differ from controls by this much; among settlements, those claiming a practice differ from those not claiming it by that much. Let the reader draw the connection, and say in the discussion that the mediating pathway is CONSISTENT WITH the data but not ESTABLISHED by it.</w:t>
            </w:r>
          </w:p>
          <w:p>
            <w:pPr>
              <w:spacing w:after="90" w:line="276"/>
              <w:jc w:val="both"/>
            </w:pPr>
            <w:r>
              <w:rPr>
                <w:rFonts w:ascii="Calibri" w:cs="Calibri" w:eastAsia="Calibri" w:hAnsi="Calibri"/>
                <w:sz w:val="20"/>
                <w:szCs w:val="20"/>
              </w:rPr>
              <w:t xml:space="preserve">A mediation analysis on this design would produce a coefficient that looks authoritative and is not. The descriptive version sounds weaker and is actually defensible.</w:t>
            </w:r>
          </w:p>
        </w:tc>
      </w:tr>
    </w:tbl>
    <w:p>
      <w:pPr>
        <w:spacing w:after="140"/>
      </w:pPr>
    </w:p>
    <w:p>
      <w:pPr>
        <w:pStyle w:val="Heading2"/>
        <w:spacing w:after="130" w:before="280"/>
      </w:pPr>
      <w:r>
        <w:rPr>
          <w:rFonts w:ascii="Calibri" w:cs="Calibri" w:eastAsia="Calibri" w:hAnsi="Calibri"/>
          <w:b/>
          <w:bCs/>
          <w:color w:val="2E5496"/>
          <w:sz w:val="25"/>
          <w:szCs w:val="25"/>
        </w:rPr>
        <w:t xml:space="preserve">3.7  Moderators, controls and diagnostics — exact names</w:t>
      </w:r>
    </w:p>
    <w:p>
      <w:pPr>
        <w:pStyle w:val="Heading3"/>
        <w:spacing w:after="110" w:before="220"/>
      </w:pPr>
      <w:r>
        <w:rPr>
          <w:rFonts w:ascii="Calibri" w:cs="Calibri" w:eastAsia="Calibri" w:hAnsi="Calibri"/>
          <w:b/>
          <w:bCs/>
          <w:color w:val="2E5496"/>
          <w:sz w:val="22"/>
          <w:szCs w:val="22"/>
        </w:rPr>
        <w:t xml:space="preserve">Moderators</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000"/>
        <w:gridCol w:w="1800"/>
        <w:gridCol w:w="5220"/>
      </w:tblGrid>
      <w:tr>
        <w:trPr>
          <w:tblHeader/>
        </w:trPr>
        <w:tc>
          <w:tcPr>
            <w:tcW w:type="dxa" w:w="20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Full name</w:t>
            </w:r>
          </w:p>
        </w:tc>
        <w:tc>
          <w:tcPr>
            <w:tcW w:type="dxa" w:w="18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Field name</w:t>
            </w:r>
          </w:p>
        </w:tc>
        <w:tc>
          <w:tcPr>
            <w:tcW w:type="dxa" w:w="52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Levels and why it matters</w:t>
            </w:r>
          </w:p>
        </w:tc>
      </w:tr>
      <w:tr>
        <w:tc>
          <w:tcPr>
            <w:tcW w:type="dxa" w:w="20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Köppen climate group</w:t>
            </w:r>
          </w:p>
        </w:tc>
        <w:tc>
          <w:tcPr>
            <w:tcW w:type="dxa" w:w="1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koppen_group</w:t>
            </w:r>
          </w:p>
        </w:tc>
        <w:tc>
          <w:tcPr>
            <w:tcW w:type="dxa" w:w="52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tropical, B arid, C temperate, D continental. Attainable vegetation differs fundamentally. Your sample: roughly 101 C, 58 D, 39 A, 14 B. The arid group is too small for its own claim and is reported descriptively only.</w:t>
            </w:r>
          </w:p>
        </w:tc>
      </w:tr>
      <w:tr>
        <w:tc>
          <w:tcPr>
            <w:tcW w:type="dxa" w:w="20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Terrestrial biome</w:t>
            </w:r>
          </w:p>
        </w:tc>
        <w:tc>
          <w:tcPr>
            <w:tcW w:type="dxa" w:w="1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biome</w:t>
            </w:r>
          </w:p>
        </w:tc>
        <w:tc>
          <w:tcPr>
            <w:tcW w:type="dxa" w:w="52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Around ten present. Two places in one climate group can support entirely different vegetation.</w:t>
            </w:r>
          </w:p>
        </w:tc>
      </w:tr>
      <w:tr>
        <w:tc>
          <w:tcPr>
            <w:tcW w:type="dxa" w:w="20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Community age band</w:t>
            </w:r>
          </w:p>
        </w:tc>
        <w:tc>
          <w:tcPr>
            <w:tcW w:type="dxa" w:w="1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age_band</w:t>
            </w:r>
          </w:p>
        </w:tc>
        <w:tc>
          <w:tcPr>
            <w:tcW w:type="dxa" w:w="52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Under 10, 10–25, over 25 years. The age gradient (A4) is the formal test; the band breakdown makes it readable.</w:t>
            </w:r>
          </w:p>
        </w:tc>
      </w:tr>
      <w:tr>
        <w:tc>
          <w:tcPr>
            <w:tcW w:type="dxa" w:w="20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Activity verification tier</w:t>
            </w:r>
          </w:p>
        </w:tc>
        <w:tc>
          <w:tcPr>
            <w:tcW w:type="dxa" w:w="1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activity_tier</w:t>
            </w:r>
          </w:p>
        </w:tc>
        <w:tc>
          <w:tcPr>
            <w:tcW w:type="dxa" w:w="52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B, C. Strength of the evidence that the community actually does ecological work. A signature present at Tier A and absent at Tier C is interpretable.</w:t>
            </w:r>
          </w:p>
        </w:tc>
      </w:tr>
      <w:tr>
        <w:tc>
          <w:tcPr>
            <w:tcW w:type="dxa" w:w="20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Population band</w:t>
            </w:r>
          </w:p>
        </w:tc>
        <w:tc>
          <w:tcPr>
            <w:tcW w:type="dxa" w:w="1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population_band</w:t>
            </w:r>
          </w:p>
        </w:tc>
        <w:tc>
          <w:tcPr>
            <w:tcW w:type="dxa" w:w="52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Under 30, 30–100, over 100 residents. Larger communities have more land and more capacity.</w:t>
            </w:r>
          </w:p>
        </w:tc>
      </w:tr>
      <w:tr>
        <w:tc>
          <w:tcPr>
            <w:tcW w:type="dxa" w:w="20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Measurement size class</w:t>
            </w:r>
          </w:p>
        </w:tc>
        <w:tc>
          <w:tcPr>
            <w:tcW w:type="dxa" w:w="1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size_class</w:t>
            </w:r>
          </w:p>
        </w:tc>
        <w:tc>
          <w:tcPr>
            <w:tcW w:type="dxa" w:w="52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NEW IN v3.4. small / medium / large / unknown. Reported as a moderator so a reader can see whether the settlement–control difference behaves differently in each class. It is ALSO a design variable — it sets the radius — which is why SC1 re-runs everything at a common 150 m zone to show the result does not depend on it.</w:t>
            </w:r>
          </w:p>
        </w:tc>
      </w:tr>
    </w:tbl>
    <w:p>
      <w:pPr>
        <w:pStyle w:val="Heading3"/>
        <w:spacing w:after="110" w:before="220"/>
      </w:pPr>
      <w:r>
        <w:rPr>
          <w:rFonts w:ascii="Calibri" w:cs="Calibri" w:eastAsia="Calibri" w:hAnsi="Calibri"/>
          <w:b/>
          <w:bCs/>
          <w:color w:val="2E5496"/>
          <w:sz w:val="22"/>
          <w:szCs w:val="22"/>
        </w:rPr>
        <w:t xml:space="preserve">Control variables</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200"/>
        <w:gridCol w:w="1800"/>
        <w:gridCol w:w="5020"/>
      </w:tblGrid>
      <w:tr>
        <w:trPr>
          <w:tblHeader/>
        </w:trPr>
        <w:tc>
          <w:tcPr>
            <w:tcW w:type="dxa" w:w="22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Full name</w:t>
            </w:r>
          </w:p>
        </w:tc>
        <w:tc>
          <w:tcPr>
            <w:tcW w:type="dxa" w:w="18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Field name</w:t>
            </w:r>
          </w:p>
        </w:tc>
        <w:tc>
          <w:tcPr>
            <w:tcW w:type="dxa" w:w="50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Source and why it is in the model</w:t>
            </w:r>
          </w:p>
        </w:tc>
      </w:tr>
      <w:tr>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Built-up fraction</w:t>
            </w:r>
          </w:p>
        </w:tc>
        <w:tc>
          <w:tcPr>
            <w:tcW w:type="dxa" w:w="1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built_fraction</w:t>
            </w:r>
          </w:p>
        </w:tc>
        <w:tc>
          <w:tcPr>
            <w:tcW w:type="dxa" w:w="50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Land-cover probabilities, per zone. THE most important covariate in the study. A village zone is on average 44% built, varying ±18 points between sites, and built fraction explains about a fifth of the residual variation. A twenty-point mismatch between a settlement and its controls creates a full detectable difference of signal that means nothing.</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Elevation</w:t>
            </w:r>
          </w:p>
        </w:tc>
        <w:tc>
          <w:tcPr>
            <w:tcW w:type="dxa" w:w="1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elevation_m</w:t>
            </w:r>
          </w:p>
        </w:tc>
        <w:tc>
          <w:tcPr>
            <w:tcW w:type="dxa" w:w="50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Digital elevation model. Constrains what vegetation is possible. Also matched on.</w:t>
            </w:r>
          </w:p>
        </w:tc>
      </w:tr>
      <w:tr>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Slope</w:t>
            </w:r>
          </w:p>
        </w:tc>
        <w:tc>
          <w:tcPr>
            <w:tcW w:type="dxa" w:w="1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slope_deg</w:t>
            </w:r>
          </w:p>
        </w:tc>
        <w:tc>
          <w:tcPr>
            <w:tcW w:type="dxa" w:w="50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Derived from the same model. Same reasoning.</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Baseline tree cover</w:t>
            </w:r>
          </w:p>
        </w:tc>
        <w:tc>
          <w:tcPr>
            <w:tcW w:type="dxa" w:w="1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tree_cover_pct</w:t>
            </w:r>
          </w:p>
        </w:tc>
        <w:tc>
          <w:tcPr>
            <w:tcW w:type="dxa" w:w="50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Land-cover probabilities. The strongest single predictor of most metrics. Also matched on.</w:t>
            </w:r>
          </w:p>
        </w:tc>
      </w:tr>
      <w:tr>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Resident population</w:t>
            </w:r>
          </w:p>
        </w:tc>
        <w:tc>
          <w:tcPr>
            <w:tcW w:type="dxa" w:w="1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population</w:t>
            </w:r>
          </w:p>
        </w:tc>
        <w:tc>
          <w:tcPr>
            <w:tcW w:type="dxa" w:w="50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Documentary coding. Settlement size drives land-use intensity.</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Clear-observation count</w:t>
            </w:r>
          </w:p>
        </w:tc>
        <w:tc>
          <w:tcPr>
            <w:tcW w:type="dxa" w:w="1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n_clear</w:t>
            </w:r>
          </w:p>
        </w:tc>
        <w:tc>
          <w:tcPr>
            <w:tcW w:type="dxa" w:w="50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Extraction output. Included where a metric is shown to depend on it. Cloudy sites give noisier composites.</w:t>
            </w:r>
          </w:p>
        </w:tc>
      </w:tr>
      <w:tr>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Distance to permanent surface water</w:t>
            </w:r>
          </w:p>
        </w:tc>
        <w:tc>
          <w:tcPr>
            <w:tcW w:type="dxa" w:w="1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water_dist_m</w:t>
            </w:r>
          </w:p>
        </w:tc>
        <w:tc>
          <w:tcPr>
            <w:tcW w:type="dxa" w:w="50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Global surface-water layer. Held constant BY MATCHING, restored in version 3.2. Water access shapes both what vegetation is possible and where people settle, and it is the single most obvious confounder of drought resistance — which sensitivity check SC14 now tests. Never enters the model; the matching handles it.</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Distance to its settlement</w:t>
            </w:r>
          </w:p>
        </w:tc>
        <w:tc>
          <w:tcPr>
            <w:tcW w:type="dxa" w:w="1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control_distance_km</w:t>
            </w:r>
          </w:p>
        </w:tc>
        <w:tc>
          <w:tcPr>
            <w:tcW w:type="dxa" w:w="50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Controls only. NEW IN v3.8. How far each control sits from its settlement, in kilometres. Normally 5 to 50; where three qualifying candidates did not exist there, the search extended to 50–100 km under the ladder in Stage 2. Reported per control and used to grade the quartet; it never enters the model, because it is a property of the matching rather than a confounder.</w:t>
            </w:r>
          </w:p>
        </w:tc>
      </w:tr>
      <w:tr>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Country</w:t>
            </w:r>
          </w:p>
        </w:tc>
        <w:tc>
          <w:tcPr>
            <w:tcW w:type="dxa" w:w="1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country</w:t>
            </w:r>
          </w:p>
        </w:tc>
        <w:tc>
          <w:tcPr>
            <w:tcW w:type="dxa" w:w="50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Held constant BY MATCHING. Absorbs policy, tenure and subsidy regime. Never enters the model — the matching already handles it.</w:t>
            </w:r>
          </w:p>
        </w:tc>
      </w:tr>
    </w:tbl>
    <w:p>
      <w:pPr>
        <w:pStyle w:val="Heading3"/>
        <w:spacing w:after="110" w:before="220"/>
      </w:pPr>
      <w:r>
        <w:rPr>
          <w:rFonts w:ascii="Calibri" w:cs="Calibri" w:eastAsia="Calibri" w:hAnsi="Calibri"/>
          <w:b/>
          <w:bCs/>
          <w:color w:val="2E5496"/>
          <w:sz w:val="22"/>
          <w:szCs w:val="22"/>
        </w:rPr>
        <w:t xml:space="preserve">Diagnostic variables</w:t>
      </w:r>
    </w:p>
    <w:p>
      <w:pPr>
        <w:spacing w:after="120" w:line="276"/>
        <w:jc w:val="both"/>
      </w:pPr>
      <w:r>
        <w:rPr>
          <w:rFonts w:ascii="Calibri" w:cs="Calibri" w:eastAsia="Calibri" w:hAnsi="Calibri"/>
          <w:b w:val="false"/>
          <w:bCs w:val="false"/>
          <w:i w:val="false"/>
          <w:iCs w:val="false"/>
          <w:color w:val="000000"/>
          <w:sz w:val="21"/>
          <w:szCs w:val="21"/>
        </w:rPr>
        <w:t xml:space="preserve">Neither outcomes nor predictors. They answer a third question: BY WHAT MEANS is the observed condition maintained? Reported alongside every index value and never folded into it.</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200"/>
        <w:gridCol w:w="1800"/>
        <w:gridCol w:w="5020"/>
      </w:tblGrid>
      <w:tr>
        <w:trPr>
          <w:tblHeader/>
        </w:trPr>
        <w:tc>
          <w:tcPr>
            <w:tcW w:type="dxa" w:w="22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Full name</w:t>
            </w:r>
          </w:p>
        </w:tc>
        <w:tc>
          <w:tcPr>
            <w:tcW w:type="dxa" w:w="18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Field name</w:t>
            </w:r>
          </w:p>
        </w:tc>
        <w:tc>
          <w:tcPr>
            <w:tcW w:type="dxa" w:w="50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Components and what it separates</w:t>
            </w:r>
          </w:p>
        </w:tc>
      </w:tr>
      <w:tr>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Water-subsidy flag</w:t>
            </w:r>
          </w:p>
        </w:tc>
        <w:tc>
          <w:tcPr>
            <w:tcW w:type="dxa" w:w="1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flag_water</w:t>
            </w:r>
          </w:p>
        </w:tc>
        <w:tc>
          <w:tcPr>
            <w:tcW w:type="dxa" w:w="50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Rainfall–NDVI coupling (FC1) and rain-use efficiency (FC2). Separates green because the system retains water from green because water is imported. Without this, "greener" cannot be distinguished from "irrigated".</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Disturbance flag</w:t>
            </w:r>
          </w:p>
        </w:tc>
        <w:tc>
          <w:tcPr>
            <w:tcW w:type="dxa" w:w="1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flag_disturbance</w:t>
            </w:r>
          </w:p>
        </w:tc>
        <w:tc>
          <w:tcPr>
            <w:tcW w:type="dxa" w:w="50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Bare-soil episode frequency (FC3) and transition abruptness (FC4). Separates ground worked mechanically and repeatedly from ground under continuous cover. Entirely management-diagnostic: geology does not plough.</w:t>
            </w:r>
          </w:p>
        </w:tc>
      </w:tr>
    </w:tbl>
    <w:p>
      <w:pPr>
        <w:spacing w:after="120"/>
      </w:pPr>
    </w:p>
    <w:p>
      <w:pPr>
        <w:spacing w:after="120" w:line="276"/>
        <w:jc w:val="both"/>
      </w:pPr>
      <w:r>
        <w:rPr>
          <w:rFonts w:ascii="Calibri" w:cs="Calibri" w:eastAsia="Calibri" w:hAnsi="Calibri"/>
          <w:b/>
          <w:bCs/>
          <w:i w:val="false"/>
          <w:iCs w:val="false"/>
          <w:color w:val="000000"/>
          <w:sz w:val="21"/>
          <w:szCs w:val="21"/>
        </w:rPr>
        <w:t xml:space="preserve">A flag is raised only when BOTH its components agree. </w:t>
      </w:r>
      <w:r>
        <w:rPr>
          <w:rFonts w:ascii="Calibri" w:cs="Calibri" w:eastAsia="Calibri" w:hAnsi="Calibri"/>
          <w:b w:val="false"/>
          <w:bCs w:val="false"/>
          <w:i w:val="false"/>
          <w:iCs w:val="false"/>
          <w:color w:val="000000"/>
          <w:sz w:val="21"/>
          <w:szCs w:val="21"/>
        </w:rPr>
        <w:t xml:space="preserve">Each component alone has an innocent explanation; their coincidence does not. One component alone gives INDETERMINATE, not RAISED.</w:t>
      </w:r>
    </w:p>
    <w:p>
      <w:pPr>
        <w:spacing w:after="120" w:line="276"/>
        <w:jc w:val="both"/>
      </w:pPr>
      <w:r>
        <w:rPr>
          <w:rFonts w:ascii="Calibri" w:cs="Calibri" w:eastAsia="Calibri" w:hAnsi="Calibri"/>
          <w:b/>
          <w:bCs/>
          <w:i w:val="false"/>
          <w:iCs w:val="false"/>
          <w:color w:val="000000"/>
          <w:sz w:val="21"/>
          <w:szCs w:val="21"/>
        </w:rPr>
        <w:t xml:space="preserve">Never call these flags "sustainable" and "unsustainable". </w:t>
      </w:r>
      <w:r>
        <w:rPr>
          <w:rFonts w:ascii="Calibri" w:cs="Calibri" w:eastAsia="Calibri" w:hAnsi="Calibri"/>
          <w:b w:val="false"/>
          <w:bCs w:val="false"/>
          <w:i w:val="false"/>
          <w:iCs w:val="false"/>
          <w:color w:val="000000"/>
          <w:sz w:val="21"/>
          <w:szCs w:val="21"/>
        </w:rPr>
        <w:t xml:space="preserve">No satellite measures sustainability — it is a judgement about persistence, not a measurement. What is measured is whether greening comes with structural diversification or with imported inputs. Test every sentence: if replacing "sustainable" with "structurally diversifying" makes it false, you were overclaiming.</w:t>
      </w:r>
    </w:p>
    <w:p>
      <w:pPr>
        <w:pStyle w:val="Heading2"/>
        <w:spacing w:after="130" w:before="280"/>
      </w:pPr>
      <w:r>
        <w:rPr>
          <w:rFonts w:ascii="Calibri" w:cs="Calibri" w:eastAsia="Calibri" w:hAnsi="Calibri"/>
          <w:b/>
          <w:bCs/>
          <w:color w:val="2E5496"/>
          <w:sz w:val="25"/>
          <w:szCs w:val="25"/>
        </w:rPr>
        <w:t xml:space="preserve">3.8  Management-diagnostic classification — the site-selection defence</w:t>
      </w:r>
    </w:p>
    <w:p>
      <w:pPr>
        <w:spacing w:after="120" w:line="276"/>
        <w:jc w:val="both"/>
      </w:pPr>
      <w:r>
        <w:rPr>
          <w:rFonts w:ascii="Calibri" w:cs="Calibri" w:eastAsia="Calibri" w:hAnsi="Calibri"/>
          <w:b w:val="false"/>
          <w:bCs w:val="false"/>
          <w:i w:val="false"/>
          <w:iCs w:val="false"/>
          <w:color w:val="000000"/>
          <w:sz w:val="21"/>
          <w:szCs w:val="21"/>
        </w:rPr>
        <w:t xml:space="preserve">Every metric carries a label recording whether it is driven mainly by WHERE the site is, or by what has been DONE to it. This is the study’s answer to the objection that these communities simply bought good land.</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1200"/>
        <w:gridCol w:w="2000"/>
        <w:gridCol w:w="5820"/>
      </w:tblGrid>
      <w:tr>
        <w:trPr>
          <w:tblHeader/>
        </w:trPr>
        <w:tc>
          <w:tcPr>
            <w:tcW w:type="dxa" w:w="12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Class</w:t>
            </w:r>
          </w:p>
        </w:tc>
        <w:tc>
          <w:tcPr>
            <w:tcW w:type="dxa" w:w="20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Meaning</w:t>
            </w:r>
          </w:p>
        </w:tc>
        <w:tc>
          <w:tcPr>
            <w:tcW w:type="dxa" w:w="58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Metrics</w:t>
            </w:r>
          </w:p>
        </w:tc>
      </w:tr>
      <w:tr>
        <w:tc>
          <w:tcPr>
            <w:tcW w:type="dxa" w:w="1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 — endowment</w:t>
            </w:r>
          </w:p>
        </w:tc>
        <w:tc>
          <w:tcPr>
            <w:tcW w:type="dxa" w:w="20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Determined largely by location; could have been inherited with the land</w:t>
            </w:r>
          </w:p>
        </w:tc>
        <w:tc>
          <w:tcPr>
            <w:tcW w:type="dxa" w:w="5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VM1 kNDVI integral; VM2 NDVI peak; VM8 canopy height</w:t>
            </w:r>
          </w:p>
        </w:tc>
      </w:tr>
      <w:tr>
        <w:tc>
          <w:tcPr>
            <w:tcW w:type="dxa" w:w="1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 — management</w:t>
            </w:r>
          </w:p>
        </w:tc>
        <w:tc>
          <w:tcPr>
            <w:tcW w:type="dxa" w:w="20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Reflects decisions that cannot be inherited</w:t>
            </w:r>
          </w:p>
        </w:tc>
        <w:tc>
          <w:tcPr>
            <w:tcW w:type="dxa" w:w="5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VM5 green cover duration; VM6 bare-ground fraction; VM11 phenological asynchrony; VM12 edge density; VM14 seasonal decline rate; PM1 productive area fraction; PM2 cropping cycles. Both flags are also M-class.</w:t>
            </w:r>
          </w:p>
        </w:tc>
      </w:tr>
      <w:tr>
        <w:tc>
          <w:tcPr>
            <w:tcW w:type="dxa" w:w="1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X — mixed</w:t>
            </w:r>
          </w:p>
        </w:tc>
        <w:tc>
          <w:tcPr>
            <w:tcW w:type="dxa" w:w="20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Both contribute materially</w:t>
            </w:r>
          </w:p>
        </w:tc>
        <w:tc>
          <w:tcPr>
            <w:tcW w:type="dxa" w:w="5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VM3 dry-season minimum NDVI; VM4 dry-season NDMI; VM7 interannual variability; VM9 woody cover; VM10 spectral diversity; VM13 red-edge chlorophyll; PM3 productive energy capture</w:t>
            </w:r>
          </w:p>
        </w:tc>
      </w:tr>
    </w:tbl>
    <w:p>
      <w:pPr>
        <w:spacing w:after="120"/>
      </w:pPr>
    </w:p>
    <w:p>
      <w:pPr>
        <w:spacing w:after="120" w:line="276"/>
        <w:jc w:val="both"/>
      </w:pPr>
      <w:r>
        <w:rPr>
          <w:rFonts w:ascii="Calibri" w:cs="Calibri" w:eastAsia="Calibri" w:hAnsi="Calibri"/>
          <w:b/>
          <w:bCs/>
          <w:i w:val="false"/>
          <w:iCs w:val="false"/>
          <w:color w:val="000000"/>
          <w:sz w:val="21"/>
          <w:szCs w:val="21"/>
        </w:rPr>
        <w:t xml:space="preserve">Why this works. </w:t>
      </w:r>
      <w:r>
        <w:rPr>
          <w:rFonts w:ascii="Calibri" w:cs="Calibri" w:eastAsia="Calibri" w:hAnsi="Calibri"/>
          <w:b w:val="false"/>
          <w:bCs w:val="false"/>
          <w:i w:val="false"/>
          <w:iCs w:val="false"/>
          <w:color w:val="000000"/>
          <w:sz w:val="21"/>
          <w:szCs w:val="21"/>
        </w:rPr>
        <w:t xml:space="preserve">You cannot buy a parcel that is already never ploughed, or one that already grows several crops greening at different times, or one whose field edges already follow small diverse parcels. Those are traces of practice. Hypothesis H5 restricts the comparison to them: if the settlement advantage survives there, site selection is a much weaker explanation.</w:t>
      </w:r>
    </w:p>
    <w:tbl>
      <w:tblPr>
        <w:tblW w:type="dxa" w:w="9020"/>
        <w:tblBorders>
          <w:top w:val="none" w:color="FFFFFF" w:sz="0"/>
          <w:left w:val="single" w:color="C0504D" w:sz="18"/>
          <w:bottom w:val="none" w:color="FFFFFF" w:sz="0"/>
          <w:right w:val="none" w:color="FFFFFF" w:sz="0"/>
          <w:insideH w:val="none" w:color="FFFFFF" w:sz="0"/>
          <w:insideV w:val="none" w:color="FFFFFF" w:sz="0"/>
        </w:tblBorders>
      </w:tblPr>
      <w:tblGrid>
        <w:gridCol w:w="9020"/>
      </w:tblGrid>
      <w:tr>
        <w:tc>
          <w:tcPr>
            <w:tcW w:type="dxa" w:w="9020"/>
            <w:shd w:fill="FDECEC" w:color="auto" w:val="clear"/>
            <w:tcMar>
              <w:top w:type="dxa" w:w="150"/>
              <w:left w:type="dxa" w:w="180"/>
              <w:bottom w:type="dxa" w:w="150"/>
              <w:right w:type="dxa" w:w="180"/>
            </w:tcMar>
          </w:tcPr>
          <w:p>
            <w:pPr>
              <w:spacing w:after="90"/>
            </w:pPr>
            <w:r>
              <w:rPr>
                <w:rFonts w:ascii="Calibri" w:cs="Calibri" w:eastAsia="Calibri" w:hAnsi="Calibri"/>
                <w:b/>
                <w:bCs/>
                <w:color w:val="C0504D"/>
                <w:sz w:val="21"/>
                <w:szCs w:val="21"/>
              </w:rPr>
              <w:t xml:space="preserve">A limitation of this defence, stated plainly</w:t>
            </w:r>
          </w:p>
          <w:p>
            <w:pPr>
              <w:spacing w:after="90" w:line="276"/>
              <w:jc w:val="both"/>
            </w:pPr>
            <w:r>
              <w:rPr>
                <w:rFonts w:ascii="Calibri" w:cs="Calibri" w:eastAsia="Calibri" w:hAnsi="Calibri"/>
                <w:sz w:val="20"/>
                <w:szCs w:val="20"/>
              </w:rPr>
              <w:t xml:space="preserve">The seven management-dominated metrics sit in only three of the five dimensions. Productivity and structure contain NONE.</w:t>
            </w:r>
          </w:p>
          <w:p>
            <w:pPr>
              <w:spacing w:after="90" w:line="276"/>
              <w:jc w:val="both"/>
            </w:pPr>
            <w:r>
              <w:rPr>
                <w:rFonts w:ascii="Calibri" w:cs="Calibri" w:eastAsia="Calibri" w:hAnsi="Calibri"/>
                <w:sz w:val="20"/>
                <w:szCs w:val="20"/>
              </w:rPr>
              <w:t xml:space="preserve">This is why H5 is tested on the Management-Diagnostic Score — a single arithmetic mean of the six — rather than on a rebuilt four-dimension index, which cannot be formed. Version 3.1 added VM14 to the management-dominated set, which strengthens it but does not remove the limitation — VM14 sits in Persistence, which already had M-class metrics. Version 1.0 of this plan asked for the impossible version.</w:t>
            </w:r>
          </w:p>
          <w:p>
            <w:pPr>
              <w:spacing w:after="90" w:line="276"/>
              <w:jc w:val="both"/>
            </w:pPr>
            <w:r>
              <w:rPr>
                <w:rFonts w:ascii="Calibri" w:cs="Calibri" w:eastAsia="Calibri" w:hAnsi="Calibri"/>
                <w:sz w:val="20"/>
                <w:szCs w:val="20"/>
              </w:rPr>
              <w:t xml:space="preserve">It also means a result driven entirely by productivity and structure would be exactly the pattern site selection predicts. Report the per-dimension breakdown (figure F4) so that a reader can see which dimensions carry the result.</w:t>
            </w:r>
          </w:p>
        </w:tc>
      </w:tr>
    </w:tbl>
    <w:p>
      <w:pPr>
        <w:spacing w:after="140"/>
      </w:pPr>
    </w:p>
    <w:p>
      <w:pPr>
        <w:pStyle w:val="Heading2"/>
        <w:spacing w:after="130" w:before="280"/>
      </w:pPr>
      <w:r>
        <w:rPr>
          <w:rFonts w:ascii="Calibri" w:cs="Calibri" w:eastAsia="Calibri" w:hAnsi="Calibri"/>
          <w:b/>
          <w:bCs/>
          <w:color w:val="2E5496"/>
          <w:sz w:val="25"/>
          <w:szCs w:val="25"/>
        </w:rPr>
        <w:t xml:space="preserve">3.9  The causal diagram — why these variables and not others</w:t>
      </w:r>
    </w:p>
    <w:p>
      <w:pPr>
        <w:spacing w:after="120" w:line="276"/>
        <w:jc w:val="both"/>
      </w:pPr>
      <w:r>
        <w:rPr>
          <w:rFonts w:ascii="Calibri" w:cs="Calibri" w:eastAsia="Calibri" w:hAnsi="Calibri"/>
          <w:b w:val="false"/>
          <w:bCs w:val="false"/>
          <w:i w:val="false"/>
          <w:iCs w:val="false"/>
          <w:color w:val="000000"/>
          <w:sz w:val="21"/>
          <w:szCs w:val="21"/>
        </w:rPr>
        <w:t xml:space="preserve">A causal diagram states, in one picture, what you believe causes what. It is worth one page for two reasons: it justifies every matching variable without an argument, and it identifies the variables you must NOT adjust for. That second use is the one that prevents an actual error.</w:t>
      </w:r>
    </w:p>
    <w:p>
      <w:pPr>
        <w:pStyle w:val="Heading3"/>
        <w:spacing w:after="110" w:before="220"/>
      </w:pPr>
      <w:r>
        <w:rPr>
          <w:rFonts w:ascii="Calibri" w:cs="Calibri" w:eastAsia="Calibri" w:hAnsi="Calibri"/>
          <w:b/>
          <w:bCs/>
          <w:color w:val="2E5496"/>
          <w:sz w:val="22"/>
          <w:szCs w:val="22"/>
        </w:rPr>
        <w:t xml:space="preserve">The structure, in words</w:t>
      </w:r>
    </w:p>
    <w:p>
      <w:pPr>
        <w:spacing w:after="120" w:line="276"/>
        <w:jc w:val="both"/>
      </w:pPr>
      <w:r>
        <w:rPr>
          <w:rFonts w:ascii="Calibri" w:cs="Calibri" w:eastAsia="Calibri" w:hAnsi="Calibri"/>
          <w:b w:val="false"/>
          <w:bCs w:val="false"/>
          <w:i w:val="false"/>
          <w:iCs w:val="false"/>
          <w:color w:val="000000"/>
          <w:sz w:val="21"/>
          <w:szCs w:val="21"/>
        </w:rPr>
        <w:t xml:space="preserve">Draw it as boxes and arrows. The text below is what the arrows say.</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6620"/>
      </w:tblGrid>
      <w:tr>
        <w:trPr>
          <w:tblHeader/>
        </w:trPr>
        <w:tc>
          <w:tcPr>
            <w:tcW w:type="dxa" w:w="24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Path</w:t>
            </w:r>
          </w:p>
        </w:tc>
        <w:tc>
          <w:tcPr>
            <w:tcW w:type="dxa" w:w="66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Reading</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CLIMATE, BIOME, TERRAIN, ELEVATION → vegetation condition</w:t>
            </w:r>
          </w:p>
        </w:tc>
        <w:tc>
          <w:tcPr>
            <w:tcW w:type="dxa" w:w="6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environment sets a ceiling on what vegetation is possible. These are the largest influences on the outcome in the whole diagram.</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CLIMATE, BIOME, TERRAIN, ELEVATION → being an intentional community</w:t>
            </w:r>
          </w:p>
        </w:tc>
        <w:tc>
          <w:tcPr>
            <w:tcW w:type="dxa" w:w="6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Communities choose where to settle, and they choose disproportionately marginal, sloping, cheap land. So these variables affect BOTH arms.</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ACCESSIBILITY, COUNTRY, LAND PRICE → being an intentional community</w:t>
            </w:r>
          </w:p>
        </w:tc>
        <w:tc>
          <w:tcPr>
            <w:tcW w:type="dxa" w:w="6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Founding a community requires affordable land within reach of somewhere. Country additionally sets policy, tenure and subsidy regime.</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WATER ACCESS → vegetation condition, AND → being an intentional community</w:t>
            </w:r>
          </w:p>
        </w:tc>
        <w:tc>
          <w:tcPr>
            <w:tcW w:type="dxa" w:w="6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Proximity to permanent water raises attainable vegetation directly, and it also shapes where people choose to settle. It therefore causes both arms and must be adjusted for — which is why it is a matching criterion (Stage 2). It is also the main confounder of drought resistance, which is what makes it matter for SC14.</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ACCESSIBILITY, COUNTRY → vegetation condition</w:t>
            </w:r>
          </w:p>
        </w:tc>
        <w:tc>
          <w:tcPr>
            <w:tcW w:type="dxa" w:w="6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Through land-use pressure and agricultural policy.</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BEING AN INTENTIONAL COMMUNITY → ecological practices → vegetation condition</w:t>
            </w:r>
          </w:p>
        </w:tc>
        <w:tc>
          <w:tcPr>
            <w:tcW w:type="dxa" w:w="6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PATH THE STUDY IS ABOUT. Practices are the mechanism.</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BEING AN INTENTIONAL COMMUNITY → land-cover composition → vegetation condition</w:t>
            </w:r>
          </w:p>
        </w:tc>
        <w:tc>
          <w:tcPr>
            <w:tcW w:type="dxa" w:w="6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second mechanism: conversion of built or bare land to vegetation.</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POPULATION and BUILT FRACTION → vegetation condition</w:t>
            </w:r>
          </w:p>
        </w:tc>
        <w:tc>
          <w:tcPr>
            <w:tcW w:type="dxa" w:w="6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Density reduces vegetated area directly.</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MANAGED AREA → measured vegetation condition</w:t>
            </w:r>
          </w:p>
        </w:tc>
        <w:tc>
          <w:tcPr>
            <w:tcW w:type="dxa" w:w="6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MODERATOR AND A MEASUREMENT PATH, not a confounder. Managed area does not cause a village to be intentional, so it needs no adjustment as a confounder. But it determines how much of the measured zone the intervention actually covers, which is why analysis A9 tests it against a dilution null rather than treating it as an ordinary predictor (§8.11).</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CLOUD COVER → observation count → measured vegetation condition</w:t>
            </w:r>
          </w:p>
        </w:tc>
        <w:tc>
          <w:tcPr>
            <w:tcW w:type="dxa" w:w="6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measurement path, not a real one. It affects what you SEE, not what is there.</w:t>
            </w:r>
          </w:p>
        </w:tc>
      </w:tr>
    </w:tbl>
    <w:p>
      <w:pPr>
        <w:spacing w:after="140"/>
      </w:pPr>
    </w:p>
    <w:tbl>
      <w:tblPr>
        <w:tblW w:type="dxa" w:w="9020"/>
        <w:tblBorders>
          <w:top w:val="none" w:color="FFFFFF" w:sz="0"/>
          <w:left w:val="single" w:color="C0504D" w:sz="18"/>
          <w:bottom w:val="none" w:color="FFFFFF" w:sz="0"/>
          <w:right w:val="none" w:color="FFFFFF" w:sz="0"/>
          <w:insideH w:val="none" w:color="FFFFFF" w:sz="0"/>
          <w:insideV w:val="none" w:color="FFFFFF" w:sz="0"/>
        </w:tblBorders>
      </w:tblPr>
      <w:tblGrid>
        <w:gridCol w:w="9020"/>
      </w:tblGrid>
      <w:tr>
        <w:tc>
          <w:tcPr>
            <w:tcW w:type="dxa" w:w="9020"/>
            <w:shd w:fill="FDECEC" w:color="auto" w:val="clear"/>
            <w:tcMar>
              <w:top w:type="dxa" w:w="150"/>
              <w:left w:type="dxa" w:w="180"/>
              <w:bottom w:type="dxa" w:w="150"/>
              <w:right w:type="dxa" w:w="180"/>
            </w:tcMar>
          </w:tcPr>
          <w:p>
            <w:pPr>
              <w:spacing w:after="90"/>
            </w:pPr>
            <w:r>
              <w:rPr>
                <w:rFonts w:ascii="Calibri" w:cs="Calibri" w:eastAsia="Calibri" w:hAnsi="Calibri"/>
                <w:b/>
                <w:bCs/>
                <w:color w:val="C0504D"/>
                <w:sz w:val="21"/>
                <w:szCs w:val="21"/>
              </w:rPr>
              <w:t xml:space="preserve">The rule the diagram exists to enforce</w:t>
            </w:r>
          </w:p>
          <w:p>
            <w:pPr>
              <w:spacing w:after="90" w:line="276"/>
              <w:jc w:val="both"/>
            </w:pPr>
            <w:r>
              <w:rPr>
                <w:rFonts w:ascii="Calibri" w:cs="Calibri" w:eastAsia="Calibri" w:hAnsi="Calibri"/>
                <w:sz w:val="20"/>
                <w:szCs w:val="20"/>
              </w:rPr>
              <w:t xml:space="preserve">ADJUST FOR: anything that causes BOTH the exposure and the outcome. In the diagram, that is climate, biome, terrain, elevation, accessibility, country, population and built fraction. Every one of these is either a matching variable or a model covariate, and the diagram is the reason.</w:t>
            </w:r>
          </w:p>
          <w:p>
            <w:pPr>
              <w:spacing w:after="90" w:line="276"/>
              <w:jc w:val="both"/>
            </w:pPr>
            <w:r>
              <w:rPr>
                <w:rFonts w:ascii="Calibri" w:cs="Calibri" w:eastAsia="Calibri" w:hAnsi="Calibri"/>
                <w:sz w:val="20"/>
                <w:szCs w:val="20"/>
              </w:rPr>
              <w:t xml:space="preserve">DO NOT ADJUST FOR: anything on the path FROM the exposure TO the outcome. That means ecological practices and land-cover composition. Conditioning on a mediator removes part of the very effect you are trying to measure — it would bias the estimate toward zero and make a real effect look absent.</w:t>
            </w:r>
          </w:p>
          <w:p>
            <w:pPr>
              <w:spacing w:after="90" w:line="276"/>
              <w:jc w:val="both"/>
            </w:pPr>
            <w:r>
              <w:rPr>
                <w:rFonts w:ascii="Calibri" w:cs="Calibri" w:eastAsia="Calibri" w:hAnsi="Calibri"/>
                <w:sz w:val="20"/>
                <w:szCs w:val="20"/>
              </w:rPr>
              <w:t xml:space="preserve">This is why practices are examined in a SEPARATE analysis (A6) and land cover is reported as a SEPARATE outcome (LCC), rather than either being added to the main model as a control. Version 3.0 makes that reasoning explicit; earlier versions did it correctly but never said why.</w:t>
            </w:r>
          </w:p>
          <w:p>
            <w:pPr>
              <w:spacing w:after="90" w:line="276"/>
              <w:jc w:val="both"/>
            </w:pPr>
            <w:r>
              <w:rPr>
                <w:rFonts w:ascii="Calibri" w:cs="Calibri" w:eastAsia="Calibri" w:hAnsi="Calibri"/>
                <w:sz w:val="20"/>
                <w:szCs w:val="20"/>
              </w:rPr>
              <w:t xml:space="preserve">DO NOT ADJUST FOR observation count as though it were a confounder either. It sits on a measurement path, so it is included only where a dependence is demonstrated, and it is described as a measurement covariate rather than a confounder.</w:t>
            </w:r>
          </w:p>
        </w:tc>
      </w:tr>
    </w:tbl>
    <w:p>
      <w:pPr>
        <w:spacing w:after="140"/>
      </w:pPr>
    </w:p>
    <w:p>
      <w:pPr>
        <w:spacing w:after="120" w:line="276"/>
        <w:jc w:val="both"/>
      </w:pPr>
      <w:r>
        <w:rPr>
          <w:rFonts w:ascii="Calibri" w:cs="Calibri" w:eastAsia="Calibri" w:hAnsi="Calibri"/>
          <w:b/>
          <w:bCs/>
          <w:i w:val="false"/>
          <w:iCs w:val="false"/>
          <w:color w:val="000000"/>
          <w:sz w:val="21"/>
          <w:szCs w:val="21"/>
        </w:rPr>
        <w:t xml:space="preserve">What the diagram admits. </w:t>
      </w:r>
      <w:r>
        <w:rPr>
          <w:rFonts w:ascii="Calibri" w:cs="Calibri" w:eastAsia="Calibri" w:hAnsi="Calibri"/>
          <w:b w:val="false"/>
          <w:bCs w:val="false"/>
          <w:i w:val="false"/>
          <w:iCs w:val="false"/>
          <w:color w:val="000000"/>
          <w:sz w:val="21"/>
          <w:szCs w:val="21"/>
        </w:rPr>
        <w:t xml:space="preserve">One arrow cannot be drawn with confidence: whether some unmeasured founder characteristic — capital, ecological knowledge, organisational skill — causes both the choice to found a community AND the land’s condition. That is the unmeasured confounder the study cannot rule out by design, and sensitivity check SC11 quantifies how strong it would have to be. Draw it on the diagram as a dashed arrow, labelled, rather than leaving it off.</w:t>
      </w:r>
    </w:p>
    <w:p>
      <w:pPr>
        <w:spacing w:after="120" w:line="276"/>
        <w:jc w:val="both"/>
      </w:pPr>
      <w:r>
        <w:rPr>
          <w:rFonts w:ascii="Calibri" w:cs="Calibri" w:eastAsia="Calibri" w:hAnsi="Calibri"/>
          <w:b w:val="false"/>
          <w:bCs w:val="false"/>
          <w:i w:val="false"/>
          <w:iCs w:val="false"/>
          <w:color w:val="000000"/>
          <w:sz w:val="21"/>
          <w:szCs w:val="21"/>
        </w:rPr>
        <w:t xml:space="preserve">Publish the diagram as figure F0, before the results. A reader who accepts the diagram accepts the covariate list without further argument, and a reader who rejects it can say precisely which arrow they disagree with — which is a far more productive disagreement than an unstructured objection to the controls.</w:t>
      </w:r>
    </w:p>
    <w:p>
      <w:pPr>
        <w:spacing w:after="140"/>
      </w:pPr>
    </w:p>
    <w:p>
      <w:pPr>
        <w:pStyle w:val="Heading2"/>
        <w:spacing w:after="130" w:before="280"/>
      </w:pPr>
      <w:r>
        <w:rPr>
          <w:rFonts w:ascii="Calibri" w:cs="Calibri" w:eastAsia="Calibri" w:hAnsi="Calibri"/>
          <w:b/>
          <w:bCs/>
          <w:color w:val="2E5496"/>
          <w:sz w:val="25"/>
          <w:szCs w:val="25"/>
        </w:rPr>
        <w:t xml:space="preserve">3.10  The thirteen practice codes — exact names</w:t>
      </w:r>
    </w:p>
    <w:p>
      <w:pPr>
        <w:spacing w:after="120" w:line="276"/>
        <w:jc w:val="both"/>
      </w:pPr>
      <w:r>
        <w:rPr>
          <w:rFonts w:ascii="Calibri" w:cs="Calibri" w:eastAsia="Calibri" w:hAnsi="Calibri"/>
          <w:b w:val="false"/>
          <w:bCs w:val="false"/>
          <w:i w:val="false"/>
          <w:iCs w:val="false"/>
          <w:color w:val="000000"/>
          <w:sz w:val="21"/>
          <w:szCs w:val="21"/>
        </w:rPr>
        <w:t xml:space="preserve">Coded in Stage 1 from published sources. Each maps in advance to the signature it predicts; that mapping is frozen before coding begins and is not altered afterwards.</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900"/>
        <w:gridCol w:w="2400"/>
        <w:gridCol w:w="1700"/>
        <w:gridCol w:w="4020"/>
      </w:tblGrid>
      <w:tr>
        <w:trPr>
          <w:tblHeader/>
        </w:trPr>
        <w:tc>
          <w:tcPr>
            <w:tcW w:type="dxa" w:w="9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Code</w:t>
            </w:r>
          </w:p>
        </w:tc>
        <w:tc>
          <w:tcPr>
            <w:tcW w:type="dxa" w:w="24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Practice</w:t>
            </w:r>
          </w:p>
        </w:tc>
        <w:tc>
          <w:tcPr>
            <w:tcW w:type="dxa" w:w="17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Field name</w:t>
            </w:r>
          </w:p>
        </w:tc>
        <w:tc>
          <w:tcPr>
            <w:tcW w:type="dxa" w:w="40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Predicted signature</w:t>
            </w:r>
          </w:p>
        </w:tc>
      </w:tr>
      <w:tr>
        <w:tc>
          <w:tcPr>
            <w:tcW w:type="dxa" w:w="9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PC01</w:t>
            </w:r>
          </w:p>
        </w:tc>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Rainwater harvesting</w:t>
            </w:r>
          </w:p>
        </w:tc>
        <w:tc>
          <w:tcPr>
            <w:tcW w:type="dxa" w:w="1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pc_rainwater</w:t>
            </w:r>
          </w:p>
        </w:tc>
        <w:tc>
          <w:tcPr>
            <w:tcW w:type="dxa" w:w="40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Water-subsidy flag NOT raised</w:t>
            </w:r>
          </w:p>
        </w:tc>
      </w:tr>
      <w:tr>
        <w:tc>
          <w:tcPr>
            <w:tcW w:type="dxa" w:w="9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PC02</w:t>
            </w:r>
          </w:p>
        </w:tc>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Swales and keyline earthworks</w:t>
            </w:r>
          </w:p>
        </w:tc>
        <w:tc>
          <w:tcPr>
            <w:tcW w:type="dxa" w:w="17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pc_swales</w:t>
            </w:r>
          </w:p>
        </w:tc>
        <w:tc>
          <w:tcPr>
            <w:tcW w:type="dxa" w:w="40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HIGHER CONTOUR ALIGNMENT (CA) — the most practice-specific prediction in the codebook, added in v3.3. Also: water-subsidy flag not raised; higher dry-season minimum NDVI (VM3)</w:t>
            </w:r>
          </w:p>
        </w:tc>
      </w:tr>
      <w:tr>
        <w:tc>
          <w:tcPr>
            <w:tcW w:type="dxa" w:w="9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PC03</w:t>
            </w:r>
          </w:p>
        </w:tc>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Irrigation used</w:t>
            </w:r>
          </w:p>
        </w:tc>
        <w:tc>
          <w:tcPr>
            <w:tcW w:type="dxa" w:w="1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pc_irrigation</w:t>
            </w:r>
          </w:p>
        </w:tc>
        <w:tc>
          <w:tcPr>
            <w:tcW w:type="dxa" w:w="40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Water-subsidy flag RAISED. A claim predicting an unfavourable signature — included so the instrument is not one-sided.</w:t>
            </w:r>
          </w:p>
        </w:tc>
      </w:tr>
      <w:tr>
        <w:tc>
          <w:tcPr>
            <w:tcW w:type="dxa" w:w="9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PC04</w:t>
            </w:r>
          </w:p>
        </w:tc>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No-till or minimum tillage</w:t>
            </w:r>
          </w:p>
        </w:tc>
        <w:tc>
          <w:tcPr>
            <w:tcW w:type="dxa" w:w="17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pc_no_till</w:t>
            </w:r>
          </w:p>
        </w:tc>
        <w:tc>
          <w:tcPr>
            <w:tcW w:type="dxa" w:w="40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Disturbance flag not raised; lower bare-ground fraction (VM6)</w:t>
            </w:r>
          </w:p>
        </w:tc>
      </w:tr>
      <w:tr>
        <w:tc>
          <w:tcPr>
            <w:tcW w:type="dxa" w:w="9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PC05</w:t>
            </w:r>
          </w:p>
        </w:tc>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Permanent ground cover and mulching</w:t>
            </w:r>
          </w:p>
        </w:tc>
        <w:tc>
          <w:tcPr>
            <w:tcW w:type="dxa" w:w="1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pc_mulching</w:t>
            </w:r>
          </w:p>
        </w:tc>
        <w:tc>
          <w:tcPr>
            <w:tcW w:type="dxa" w:w="40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Longer green cover duration (VM5); lower bare-ground fraction (VM6)</w:t>
            </w:r>
          </w:p>
        </w:tc>
      </w:tr>
      <w:tr>
        <w:tc>
          <w:tcPr>
            <w:tcW w:type="dxa" w:w="9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PC06</w:t>
            </w:r>
          </w:p>
        </w:tc>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Cover cropping</w:t>
            </w:r>
          </w:p>
        </w:tc>
        <w:tc>
          <w:tcPr>
            <w:tcW w:type="dxa" w:w="17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pc_cover_crop</w:t>
            </w:r>
          </w:p>
        </w:tc>
        <w:tc>
          <w:tcPr>
            <w:tcW w:type="dxa" w:w="40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Longer green cover duration (VM5)</w:t>
            </w:r>
          </w:p>
        </w:tc>
      </w:tr>
      <w:tr>
        <w:tc>
          <w:tcPr>
            <w:tcW w:type="dxa" w:w="9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PC07</w:t>
            </w:r>
          </w:p>
        </w:tc>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Tree planting and reforestation</w:t>
            </w:r>
          </w:p>
        </w:tc>
        <w:tc>
          <w:tcPr>
            <w:tcW w:type="dxa" w:w="1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pc_tree_planting</w:t>
            </w:r>
          </w:p>
        </w:tc>
        <w:tc>
          <w:tcPr>
            <w:tcW w:type="dxa" w:w="40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Higher canopy height (VM8) and woody cover (VM9), conditional on onset age</w:t>
            </w:r>
          </w:p>
        </w:tc>
      </w:tr>
      <w:tr>
        <w:tc>
          <w:tcPr>
            <w:tcW w:type="dxa" w:w="9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PC08</w:t>
            </w:r>
          </w:p>
        </w:tc>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Food forest or agroforestry</w:t>
            </w:r>
          </w:p>
        </w:tc>
        <w:tc>
          <w:tcPr>
            <w:tcW w:type="dxa" w:w="17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pc_agroforestry</w:t>
            </w:r>
          </w:p>
        </w:tc>
        <w:tc>
          <w:tcPr>
            <w:tcW w:type="dxa" w:w="40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Higher structure score; higher phenological asynchrony (VM11)</w:t>
            </w:r>
          </w:p>
        </w:tc>
      </w:tr>
      <w:tr>
        <w:tc>
          <w:tcPr>
            <w:tcW w:type="dxa" w:w="9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PC09</w:t>
            </w:r>
          </w:p>
        </w:tc>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Perennial polyculture</w:t>
            </w:r>
          </w:p>
        </w:tc>
        <w:tc>
          <w:tcPr>
            <w:tcW w:type="dxa" w:w="1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pc_polyculture</w:t>
            </w:r>
          </w:p>
        </w:tc>
        <w:tc>
          <w:tcPr>
            <w:tcW w:type="dxa" w:w="40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Higher phenological asynchrony (VM11); higher spectral diversity (VM10)</w:t>
            </w:r>
          </w:p>
        </w:tc>
      </w:tr>
      <w:tr>
        <w:tc>
          <w:tcPr>
            <w:tcW w:type="dxa" w:w="9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PC10</w:t>
            </w:r>
          </w:p>
        </w:tc>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Hedgerows and windbreaks</w:t>
            </w:r>
          </w:p>
        </w:tc>
        <w:tc>
          <w:tcPr>
            <w:tcW w:type="dxa" w:w="17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pc_hedgerows</w:t>
            </w:r>
          </w:p>
        </w:tc>
        <w:tc>
          <w:tcPr>
            <w:tcW w:type="dxa" w:w="40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Higher edge density (VM12)</w:t>
            </w:r>
          </w:p>
        </w:tc>
      </w:tr>
      <w:tr>
        <w:tc>
          <w:tcPr>
            <w:tcW w:type="dxa" w:w="9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PC11</w:t>
            </w:r>
          </w:p>
        </w:tc>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Small-parcel diversified planting</w:t>
            </w:r>
          </w:p>
        </w:tc>
        <w:tc>
          <w:tcPr>
            <w:tcW w:type="dxa" w:w="1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pc_small_parcel</w:t>
            </w:r>
          </w:p>
        </w:tc>
        <w:tc>
          <w:tcPr>
            <w:tcW w:type="dxa" w:w="40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Higher spectral diversity (VM10); higher edge density (VM12)</w:t>
            </w:r>
          </w:p>
        </w:tc>
      </w:tr>
      <w:tr>
        <w:tc>
          <w:tcPr>
            <w:tcW w:type="dxa" w:w="9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PC12</w:t>
            </w:r>
          </w:p>
        </w:tc>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Organic or no synthetic inputs</w:t>
            </w:r>
          </w:p>
        </w:tc>
        <w:tc>
          <w:tcPr>
            <w:tcW w:type="dxa" w:w="17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pc_organic</w:t>
            </w:r>
          </w:p>
        </w:tc>
        <w:tc>
          <w:tcPr>
            <w:tcW w:type="dxa" w:w="40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Reported descriptively only — this study has no input-intensity flag, so no signature is predicted.</w:t>
            </w:r>
          </w:p>
        </w:tc>
      </w:tr>
      <w:tr>
        <w:tc>
          <w:tcPr>
            <w:tcW w:type="dxa" w:w="9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PC13</w:t>
            </w:r>
          </w:p>
        </w:tc>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Land restoration or rehabilitation, NON-TREE</w:t>
            </w:r>
          </w:p>
        </w:tc>
        <w:tc>
          <w:tcPr>
            <w:tcW w:type="dxa" w:w="1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pc_restoration</w:t>
            </w:r>
          </w:p>
        </w:tc>
        <w:tc>
          <w:tcPr>
            <w:tcW w:type="dxa" w:w="40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NEW IN v3.3. Grassland or pasture restoration, wetland creation, erosion or gully control, revegetation of degraded ground. Predicts: LOWER bare-ground fraction (VM6), LONGER green cover duration (VM5), HIGHER dry-season minimum NDVI (VM3).</w:t>
            </w:r>
          </w:p>
        </w:tc>
      </w:tr>
    </w:tbl>
    <w:p>
      <w:pPr>
        <w:spacing w:after="120"/>
      </w:pPr>
    </w:p>
    <w:p>
      <w:pPr>
        <w:spacing w:after="120" w:line="276"/>
        <w:jc w:val="both"/>
      </w:pPr>
      <w:r>
        <w:rPr>
          <w:rFonts w:ascii="Calibri" w:cs="Calibri" w:eastAsia="Calibri" w:hAnsi="Calibri"/>
          <w:b/>
          <w:bCs/>
          <w:i w:val="false"/>
          <w:iCs w:val="false"/>
          <w:color w:val="000000"/>
          <w:sz w:val="21"/>
          <w:szCs w:val="21"/>
        </w:rPr>
        <w:t xml:space="preserve">PC12 has no predicted signature and that is recorded honestly rather than invented. </w:t>
      </w:r>
      <w:r>
        <w:rPr>
          <w:rFonts w:ascii="Calibri" w:cs="Calibri" w:eastAsia="Calibri" w:hAnsi="Calibri"/>
          <w:b w:val="false"/>
          <w:bCs w:val="false"/>
          <w:i w:val="false"/>
          <w:iCs w:val="false"/>
          <w:color w:val="000000"/>
          <w:sz w:val="21"/>
          <w:szCs w:val="21"/>
        </w:rPr>
        <w:t xml:space="preserve">The old design had an input-intensity flag built on red-edge chlorophyll indices; it was removed in simplification because its weakest component responded to nitrogen from ANY source, including compost and legumes — exactly what these communities use. A code with no testable signature is reported as context, not tested.</w:t>
      </w:r>
    </w:p>
    <w:p>
      <w:r>
        <w:br w:type="page"/>
      </w:r>
    </w:p>
    <w:p>
      <w:pPr>
        <w:pStyle w:val="Heading1"/>
        <w:pBdr>
          <w:bottom w:val="single" w:color="1F3864" w:sz="12" w:space="6"/>
        </w:pBdr>
        <w:spacing w:after="200" w:before="400"/>
      </w:pPr>
      <w:r>
        <w:rPr>
          <w:rFonts w:ascii="Calibri" w:cs="Calibri" w:eastAsia="Calibri" w:hAnsi="Calibri"/>
          <w:b/>
          <w:bCs/>
          <w:color w:val="1F3864"/>
          <w:sz w:val="32"/>
          <w:szCs w:val="32"/>
        </w:rPr>
        <w:t xml:space="preserve">Part 4  ·  Data sources and extraction</w:t>
      </w:r>
    </w:p>
    <w:p>
      <w:pPr>
        <w:spacing w:after="120" w:line="276"/>
        <w:jc w:val="both"/>
      </w:pPr>
      <w:r>
        <w:rPr>
          <w:rFonts w:ascii="Calibri" w:cs="Calibri" w:eastAsia="Calibri" w:hAnsi="Calibri"/>
          <w:b w:val="false"/>
          <w:bCs w:val="false"/>
          <w:i w:val="false"/>
          <w:iCs w:val="false"/>
          <w:color w:val="000000"/>
          <w:sz w:val="21"/>
          <w:szCs w:val="21"/>
        </w:rPr>
        <w:t xml:space="preserve">Everything you extract, with the exact identifiers. This part is what you write the Earth Engine script from.</w:t>
      </w:r>
    </w:p>
    <w:p>
      <w:pPr>
        <w:pStyle w:val="Heading2"/>
        <w:spacing w:after="130" w:before="280"/>
      </w:pPr>
      <w:r>
        <w:rPr>
          <w:rFonts w:ascii="Calibri" w:cs="Calibri" w:eastAsia="Calibri" w:hAnsi="Calibri"/>
          <w:b/>
          <w:bCs/>
          <w:color w:val="2E5496"/>
          <w:sz w:val="25"/>
          <w:szCs w:val="25"/>
        </w:rPr>
        <w:t xml:space="preserve">4.1  Earth Engine datasets</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700"/>
        <w:gridCol w:w="2200"/>
        <w:gridCol w:w="1200"/>
        <w:gridCol w:w="2920"/>
      </w:tblGrid>
      <w:tr>
        <w:trPr>
          <w:tblHeader/>
        </w:trPr>
        <w:tc>
          <w:tcPr>
            <w:tcW w:type="dxa" w:w="27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Asset identifier</w:t>
            </w:r>
          </w:p>
        </w:tc>
        <w:tc>
          <w:tcPr>
            <w:tcW w:type="dxa" w:w="22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What it provides</w:t>
            </w:r>
          </w:p>
        </w:tc>
        <w:tc>
          <w:tcPr>
            <w:tcW w:type="dxa" w:w="12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Grain</w:t>
            </w:r>
          </w:p>
        </w:tc>
        <w:tc>
          <w:tcPr>
            <w:tcW w:type="dxa" w:w="29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Used for</w:t>
            </w:r>
          </w:p>
        </w:tc>
      </w:tr>
      <w:tr>
        <w:tc>
          <w:tcPr>
            <w:tcW w:type="dxa" w:w="2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COPERNICUS/S2_SR_HARMONIZED</w:t>
            </w:r>
          </w:p>
        </w:tc>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Surface reflectance, all bands</w:t>
            </w:r>
          </w:p>
        </w:tc>
        <w:tc>
          <w:tcPr>
            <w:tcW w:type="dxa" w:w="1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10 / 20 m</w:t>
            </w:r>
          </w:p>
        </w:tc>
        <w:tc>
          <w:tcPr>
            <w:tcW w:type="dxa" w:w="29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Every spectral index. Use the HARMONIZED collection — it already removes the January 2022 processing offset. Do NOT apply that correction again; doing so twice produces the same error in the opposite direction.</w:t>
            </w:r>
          </w:p>
        </w:tc>
      </w:tr>
      <w:tr>
        <w:tc>
          <w:tcPr>
            <w:tcW w:type="dxa" w:w="27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GOOGLE/CLOUD_SCORE_PLUS/V1/S2_HARMONIZED</w:t>
            </w:r>
          </w:p>
        </w:tc>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Per-pixel clearness score</w:t>
            </w:r>
          </w:p>
        </w:tc>
        <w:tc>
          <w:tcPr>
            <w:tcW w:type="dxa" w:w="1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10 m</w:t>
            </w:r>
          </w:p>
        </w:tc>
        <w:tc>
          <w:tcPr>
            <w:tcW w:type="dxa" w:w="29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Cloud and shadow masking. Keep pixels with cs ≥ 0.60.</w:t>
            </w:r>
          </w:p>
        </w:tc>
      </w:tr>
      <w:tr>
        <w:tc>
          <w:tcPr>
            <w:tcW w:type="dxa" w:w="2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GOOGLE/DYNAMICWORLD/V1</w:t>
            </w:r>
          </w:p>
        </w:tc>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Land-cover class probabilities</w:t>
            </w:r>
          </w:p>
        </w:tc>
        <w:tc>
          <w:tcPr>
            <w:tcW w:type="dxa" w:w="1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10 m</w:t>
            </w:r>
          </w:p>
        </w:tc>
        <w:tc>
          <w:tcPr>
            <w:tcW w:type="dxa" w:w="29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Built-up mask; land-cover composition; woody cover fraction; productive area; edge density.</w:t>
            </w:r>
          </w:p>
        </w:tc>
      </w:tr>
      <w:tr>
        <w:tc>
          <w:tcPr>
            <w:tcW w:type="dxa" w:w="27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Your polygon asset — a shapefile or GeoJSON you upload</w:t>
            </w:r>
          </w:p>
        </w:tc>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drawn outline of each settlement’s managed land, plus its translated copies at the three controls</w:t>
            </w:r>
          </w:p>
        </w:tc>
        <w:tc>
          <w:tcPr>
            <w:tcW w:type="dxa" w:w="1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vector</w:t>
            </w:r>
          </w:p>
        </w:tc>
        <w:tc>
          <w:tcPr>
            <w:tcW w:type="dxa" w:w="29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PRIMARY MEASUREMENT GEOMETRY (§7.1a). Upload it to Earth Engine as a table asset before extraction. Give every feature a site_id that matches your register, or the join in §5.7 will fail.</w:t>
            </w:r>
          </w:p>
        </w:tc>
      </w:tr>
      <w:tr>
        <w:tc>
          <w:tcPr>
            <w:tcW w:type="dxa" w:w="2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USGS/SRTMGL1_003</w:t>
            </w:r>
          </w:p>
        </w:tc>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Elevation</w:t>
            </w:r>
          </w:p>
        </w:tc>
        <w:tc>
          <w:tcPr>
            <w:tcW w:type="dxa" w:w="1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30 m</w:t>
            </w:r>
          </w:p>
        </w:tc>
        <w:tc>
          <w:tcPr>
            <w:tcW w:type="dxa" w:w="29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Slope, aspect, terrain class, topographic correction, matching, AND the contour direction needed for the contour-alignment check SC15 (§9.5).</w:t>
            </w:r>
          </w:p>
        </w:tc>
      </w:tr>
      <w:tr>
        <w:tc>
          <w:tcPr>
            <w:tcW w:type="dxa" w:w="27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UCSB-CHG/CHIRPS/DAILY</w:t>
            </w:r>
          </w:p>
        </w:tc>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Precipitation</w:t>
            </w:r>
          </w:p>
        </w:tc>
        <w:tc>
          <w:tcPr>
            <w:tcW w:type="dxa" w:w="1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~5 km</w:t>
            </w:r>
          </w:p>
        </w:tc>
        <w:tc>
          <w:tcPr>
            <w:tcW w:type="dxa" w:w="29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Water-subsidy flag; tropical vegetation-year definition; and the long-term rainfall climatology (at least twenty years) that defines a drought year for SC14.</w:t>
            </w:r>
          </w:p>
        </w:tc>
      </w:tr>
      <w:tr>
        <w:tc>
          <w:tcPr>
            <w:tcW w:type="dxa" w:w="2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JRC/GSW1_4/GlobalSurfaceWater</w:t>
            </w:r>
          </w:p>
        </w:tc>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Surface-water occurrence</w:t>
            </w:r>
          </w:p>
        </w:tc>
        <w:tc>
          <w:tcPr>
            <w:tcW w:type="dxa" w:w="1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30 m</w:t>
            </w:r>
          </w:p>
        </w:tc>
        <w:tc>
          <w:tcPr>
            <w:tcW w:type="dxa" w:w="29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Masking permanent water out of every vegetation metric, AND computing distance to permanent water for the Stage 2 matching criterion restored in version 3.2.</w:t>
            </w:r>
          </w:p>
        </w:tc>
      </w:tr>
      <w:tr>
        <w:tc>
          <w:tcPr>
            <w:tcW w:type="dxa" w:w="27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RESOLVE/ECOREGIONS/2017</w:t>
            </w:r>
          </w:p>
        </w:tc>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Biome and ecoregion</w:t>
            </w:r>
          </w:p>
        </w:tc>
        <w:tc>
          <w:tcPr>
            <w:tcW w:type="dxa" w:w="1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polygon</w:t>
            </w:r>
          </w:p>
        </w:tc>
        <w:tc>
          <w:tcPr>
            <w:tcW w:type="dxa" w:w="29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Stratification and matching.</w:t>
            </w:r>
          </w:p>
        </w:tc>
      </w:tr>
      <w:tr>
        <w:tc>
          <w:tcPr>
            <w:tcW w:type="dxa" w:w="2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users/nlang/ETH_GlobalCanopyHeight_2020_10m_v1</w:t>
            </w:r>
          </w:p>
        </w:tc>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Canopy height</w:t>
            </w:r>
          </w:p>
        </w:tc>
        <w:tc>
          <w:tcPr>
            <w:tcW w:type="dxa" w:w="1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10 m</w:t>
            </w:r>
          </w:p>
        </w:tc>
        <w:tc>
          <w:tcPr>
            <w:tcW w:type="dxa" w:w="29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structure dimension. Single epoch — state only, never change.</w:t>
            </w:r>
          </w:p>
        </w:tc>
      </w:tr>
      <w:tr>
        <w:tc>
          <w:tcPr>
            <w:tcW w:type="dxa" w:w="27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MODIS/061/MCD64A1</w:t>
            </w:r>
          </w:p>
        </w:tc>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Burned area, monthly</w:t>
            </w:r>
          </w:p>
        </w:tc>
        <w:tc>
          <w:tcPr>
            <w:tcW w:type="dxa" w:w="1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500 m</w:t>
            </w:r>
          </w:p>
        </w:tc>
        <w:tc>
          <w:tcPr>
            <w:tcW w:type="dxa" w:w="29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Excluding fire-disturbed sites.</w:t>
            </w:r>
          </w:p>
        </w:tc>
      </w:tr>
      <w:tr>
        <w:tc>
          <w:tcPr>
            <w:tcW w:type="dxa" w:w="2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CSP/HM/GlobalHumanModification</w:t>
            </w:r>
          </w:p>
        </w:tc>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Human modification index</w:t>
            </w:r>
          </w:p>
        </w:tc>
        <w:tc>
          <w:tcPr>
            <w:tcW w:type="dxa" w:w="1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 km</w:t>
            </w:r>
          </w:p>
        </w:tc>
        <w:tc>
          <w:tcPr>
            <w:tcW w:type="dxa" w:w="29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Filtering the natural reference pool.</w:t>
            </w:r>
          </w:p>
        </w:tc>
      </w:tr>
      <w:tr>
        <w:tc>
          <w:tcPr>
            <w:tcW w:type="dxa" w:w="27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Köppen–Geiger 1 km (Beck et al. 2018)</w:t>
            </w:r>
          </w:p>
        </w:tc>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Climate class</w:t>
            </w:r>
          </w:p>
        </w:tc>
        <w:tc>
          <w:tcPr>
            <w:tcW w:type="dxa" w:w="1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 km</w:t>
            </w:r>
          </w:p>
        </w:tc>
        <w:tc>
          <w:tcPr>
            <w:tcW w:type="dxa" w:w="29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Stratification and matching. Upload as an asset, or join offline from the published raster.</w:t>
            </w:r>
          </w:p>
        </w:tc>
      </w:tr>
    </w:tbl>
    <w:p>
      <w:pPr>
        <w:spacing w:after="140"/>
      </w:pPr>
    </w:p>
    <w:p>
      <w:pPr>
        <w:pStyle w:val="Heading2"/>
        <w:spacing w:after="130" w:before="280"/>
      </w:pPr>
      <w:r>
        <w:rPr>
          <w:rFonts w:ascii="Calibri" w:cs="Calibri" w:eastAsia="Calibri" w:hAnsi="Calibri"/>
          <w:b/>
          <w:bCs/>
          <w:color w:val="2E5496"/>
          <w:sz w:val="25"/>
          <w:szCs w:val="25"/>
        </w:rPr>
        <w:t xml:space="preserve">4.2  Spectral indices — names and formulas</w:t>
      </w:r>
    </w:p>
    <w:p>
      <w:pPr>
        <w:spacing w:after="120" w:line="276"/>
        <w:jc w:val="both"/>
      </w:pPr>
      <w:r>
        <w:rPr>
          <w:rFonts w:ascii="Calibri" w:cs="Calibri" w:eastAsia="Calibri" w:hAnsi="Calibri"/>
          <w:b w:val="false"/>
          <w:bCs w:val="false"/>
          <w:i w:val="false"/>
          <w:iCs w:val="false"/>
          <w:color w:val="000000"/>
          <w:sz w:val="21"/>
          <w:szCs w:val="21"/>
        </w:rPr>
        <w:t xml:space="preserve">Six indices. Compute each from COMPOSITED reflectance, not by compositing per-scene index values — a ratio formed once on a robust reflectance estimate behaves better than the average of many noisy ratios.</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1100"/>
        <w:gridCol w:w="3200"/>
        <w:gridCol w:w="1000"/>
        <w:gridCol w:w="3720"/>
      </w:tblGrid>
      <w:tr>
        <w:trPr>
          <w:tblHeader/>
        </w:trPr>
        <w:tc>
          <w:tcPr>
            <w:tcW w:type="dxa" w:w="11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Index</w:t>
            </w:r>
          </w:p>
        </w:tc>
        <w:tc>
          <w:tcPr>
            <w:tcW w:type="dxa" w:w="32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Formula</w:t>
            </w:r>
          </w:p>
        </w:tc>
        <w:tc>
          <w:tcPr>
            <w:tcW w:type="dxa" w:w="10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Grain</w:t>
            </w:r>
          </w:p>
        </w:tc>
        <w:tc>
          <w:tcPr>
            <w:tcW w:type="dxa" w:w="37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Why it is in the study</w:t>
            </w:r>
          </w:p>
        </w:tc>
      </w:tr>
      <w:tr>
        <w:tc>
          <w:tcPr>
            <w:tcW w:type="dxa" w:w="11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NDVI</w:t>
            </w:r>
          </w:p>
        </w:tc>
        <w:tc>
          <w:tcPr>
            <w:tcW w:type="dxa" w:w="3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(NIR − Red) / (NIR + Red)</w:t>
            </w:r>
          </w:p>
        </w:tc>
        <w:tc>
          <w:tcPr>
            <w:tcW w:type="dxa" w:w="10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10 m</w:t>
            </w:r>
          </w:p>
        </w:tc>
        <w:tc>
          <w:tcPr>
            <w:tcW w:type="dxa" w:w="37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Normalised Difference Vegetation Index. The workhorse. Saturates at high biomass, which is why kNDVI accompanies it.</w:t>
            </w:r>
          </w:p>
        </w:tc>
      </w:tr>
      <w:tr>
        <w:tc>
          <w:tcPr>
            <w:tcW w:type="dxa" w:w="11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kNDVI</w:t>
            </w:r>
          </w:p>
        </w:tc>
        <w:tc>
          <w:tcPr>
            <w:tcW w:type="dxa" w:w="3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tanh( NDVI² )</w:t>
            </w:r>
          </w:p>
        </w:tc>
        <w:tc>
          <w:tcPr>
            <w:tcW w:type="dxa" w:w="10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10 m</w:t>
            </w:r>
          </w:p>
        </w:tc>
        <w:tc>
          <w:tcPr>
            <w:tcW w:type="dxa" w:w="37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Kernel NDVI. Resists saturation. Divergence from NDVI tells you where saturation is operating.</w:t>
            </w:r>
          </w:p>
        </w:tc>
      </w:tr>
      <w:tr>
        <w:tc>
          <w:tcPr>
            <w:tcW w:type="dxa" w:w="11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NDMI</w:t>
            </w:r>
          </w:p>
        </w:tc>
        <w:tc>
          <w:tcPr>
            <w:tcW w:type="dxa" w:w="3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(NIR − SWIR1) / (NIR + SWIR1)</w:t>
            </w:r>
          </w:p>
        </w:tc>
        <w:tc>
          <w:tcPr>
            <w:tcW w:type="dxa" w:w="10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20 m</w:t>
            </w:r>
          </w:p>
        </w:tc>
        <w:tc>
          <w:tcPr>
            <w:tcW w:type="dxa" w:w="37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Normalised Difference Moisture Index. Canopy water content, independent of the greenness family.</w:t>
            </w:r>
          </w:p>
        </w:tc>
      </w:tr>
      <w:tr>
        <w:tc>
          <w:tcPr>
            <w:tcW w:type="dxa" w:w="11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NIRv</w:t>
            </w:r>
          </w:p>
        </w:tc>
        <w:tc>
          <w:tcPr>
            <w:tcW w:type="dxa" w:w="3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NDVI × NIR</w:t>
            </w:r>
          </w:p>
        </w:tc>
        <w:tc>
          <w:tcPr>
            <w:tcW w:type="dxa" w:w="10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10 m</w:t>
            </w:r>
          </w:p>
        </w:tc>
        <w:tc>
          <w:tcPr>
            <w:tcW w:type="dxa" w:w="37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Near-Infrared Reflectance of vegetation. Physically grounded proxy for the photosynthetic fraction.</w:t>
            </w:r>
          </w:p>
        </w:tc>
      </w:tr>
      <w:tr>
        <w:tc>
          <w:tcPr>
            <w:tcW w:type="dxa" w:w="11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BSI</w:t>
            </w:r>
          </w:p>
        </w:tc>
        <w:tc>
          <w:tcPr>
            <w:tcW w:type="dxa" w:w="3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((SWIR1+Red) − (NIR+Blue)) / ((SWIR1+Red) + (NIR+Blue))</w:t>
            </w:r>
          </w:p>
        </w:tc>
        <w:tc>
          <w:tcPr>
            <w:tcW w:type="dxa" w:w="10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20 m</w:t>
            </w:r>
          </w:p>
        </w:tc>
        <w:tc>
          <w:tcPr>
            <w:tcW w:type="dxa" w:w="37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Bare Soil Index. Exposed soil. Feeds the persistence dimension and the disturbance flag.</w:t>
            </w:r>
          </w:p>
        </w:tc>
      </w:tr>
      <w:tr>
        <w:tc>
          <w:tcPr>
            <w:tcW w:type="dxa" w:w="11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NDRE</w:t>
            </w:r>
          </w:p>
        </w:tc>
        <w:tc>
          <w:tcPr>
            <w:tcW w:type="dxa" w:w="3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(NIR − RedEdge1) / (NIR + RedEdge1)</w:t>
            </w:r>
          </w:p>
        </w:tc>
        <w:tc>
          <w:tcPr>
            <w:tcW w:type="dxa" w:w="10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20 m</w:t>
            </w:r>
          </w:p>
        </w:tc>
        <w:tc>
          <w:tcPr>
            <w:tcW w:type="dxa" w:w="37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NEW IN v3.1. Normalised Difference Red Edge, using B8 and B5. Sentinel-2’s red-edge bands are its single greatest advantage over Landsat and MODIS, and no earlier version of this plan used them. NDRE responds to leaf chlorophyll per unit canopy — how well nourished the vegetation is — which broadband greenness cannot separate from how much vegetation there is.</w:t>
            </w:r>
          </w:p>
        </w:tc>
      </w:tr>
    </w:tbl>
    <w:p>
      <w:pPr>
        <w:spacing w:after="120"/>
      </w:pPr>
    </w:p>
    <w:p>
      <w:pPr>
        <w:spacing w:after="120" w:line="276"/>
        <w:jc w:val="both"/>
      </w:pPr>
      <w:r>
        <w:rPr>
          <w:rFonts w:ascii="Calibri" w:cs="Calibri" w:eastAsia="Calibri" w:hAnsi="Calibri"/>
          <w:b w:val="false"/>
          <w:bCs w:val="false"/>
          <w:i w:val="false"/>
          <w:iCs w:val="false"/>
          <w:color w:val="000000"/>
          <w:sz w:val="21"/>
          <w:szCs w:val="21"/>
        </w:rPr>
        <w:t xml:space="preserve">Sentinel-2 band mapping: Blue = B2, Green = B3, Red = B4, RedEdge1 = B5, NIR = B8, SWIR1 = B11.</w:t>
      </w:r>
    </w:p>
    <w:p>
      <w:pPr>
        <w:spacing w:after="120" w:line="276"/>
        <w:jc w:val="both"/>
      </w:pPr>
      <w:r>
        <w:rPr>
          <w:rFonts w:ascii="Calibri" w:cs="Calibri" w:eastAsia="Calibri" w:hAnsi="Calibri"/>
          <w:b/>
          <w:bCs/>
          <w:i w:val="false"/>
          <w:iCs w:val="false"/>
          <w:color w:val="000000"/>
          <w:sz w:val="21"/>
          <w:szCs w:val="21"/>
        </w:rPr>
        <w:t xml:space="preserve">Note the two grains. </w:t>
      </w:r>
      <w:r>
        <w:rPr>
          <w:rFonts w:ascii="Calibri" w:cs="Calibri" w:eastAsia="Calibri" w:hAnsi="Calibri"/>
          <w:b w:val="false"/>
          <w:bCs w:val="false"/>
          <w:i w:val="false"/>
          <w:iCs w:val="false"/>
          <w:color w:val="000000"/>
          <w:sz w:val="21"/>
          <w:szCs w:val="21"/>
        </w:rPr>
        <w:t xml:space="preserve">Sentinel-2 has no short-wave infrared or red-edge band at 10 m, so NDMI, BSI and NDRE are genuinely 20 m information delivered on a 10 m grid. Say so in the methods; do not claim 10 m for them.</w:t>
      </w:r>
    </w:p>
    <w:p>
      <w:pPr>
        <w:pStyle w:val="Heading2"/>
        <w:spacing w:after="130" w:before="280"/>
      </w:pPr>
      <w:r>
        <w:rPr>
          <w:rFonts w:ascii="Calibri" w:cs="Calibri" w:eastAsia="Calibri" w:hAnsi="Calibri"/>
          <w:b/>
          <w:bCs/>
          <w:color w:val="2E5496"/>
          <w:sz w:val="25"/>
          <w:szCs w:val="25"/>
        </w:rPr>
        <w:t xml:space="preserve">4.3  What to extract, and over what geometry</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200"/>
        <w:gridCol w:w="2400"/>
        <w:gridCol w:w="4420"/>
      </w:tblGrid>
      <w:tr>
        <w:trPr>
          <w:tblHeader/>
        </w:trPr>
        <w:tc>
          <w:tcPr>
            <w:tcW w:type="dxa" w:w="22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Geometry</w:t>
            </w:r>
          </w:p>
        </w:tc>
        <w:tc>
          <w:tcPr>
            <w:tcW w:type="dxa" w:w="24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Definition</w:t>
            </w:r>
          </w:p>
        </w:tc>
        <w:tc>
          <w:tcPr>
            <w:tcW w:type="dxa" w:w="44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What is extracted over it</w:t>
            </w:r>
          </w:p>
        </w:tc>
      </w:tr>
      <w:tr>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PRIMARY ZONE — THE POLYGON</w:t>
            </w:r>
          </w:p>
        </w:tc>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hand-drawn outline of the land the community works, from §7.1a. Controls carry the SAME polygon, translated so its centre sits on the control village — same size, same shape, no rotation. Minimum 1.0 ha; below that a 75 m circle is used and the site is flagged.</w:t>
            </w:r>
          </w:p>
        </w:tc>
        <w:tc>
          <w:tcPr>
            <w:tcW w:type="dxa" w:w="4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All fourteen condition metrics, the supplementary contour-alignment metric, all three provisioning metrics, all four flag components, land-cover composition, built fraction, terrain, canopy height. Extracted in BOTH masked and unmasked form.</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RING 1–5</w:t>
            </w:r>
          </w:p>
        </w:tc>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0–50, 50–100, 100–150, 150–250, 250–500 m annuli</w:t>
            </w:r>
          </w:p>
        </w:tc>
        <w:tc>
          <w:tcPr>
            <w:tcW w:type="dxa" w:w="4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Metrics VM1–VM9, VM13, VM14 and PM1–PM3. NOT VM10–VM12, whose 70 m window is wider than three of the five rings (§8.5).</w:t>
            </w:r>
          </w:p>
        </w:tc>
      </w:tr>
      <w:tr>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BUFFER ZONE</w:t>
            </w:r>
          </w:p>
        </w:tc>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polygon expanded outward by 100 m, plus a 250 m circle around the site centre</w:t>
            </w:r>
          </w:p>
        </w:tc>
        <w:tc>
          <w:tcPr>
            <w:tcW w:type="dxa" w:w="4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Used ONLY as input to the moving-window metrics, so a window centred at the polygon edge is complete. WIDENED IN v3.6 from 70 m and 220 m, because sensitivity check SC17 recomputes the configuration metrics with a 100 m window and the buffer must cover the LARGEST window used. Buffer pixels never enter a reported statistic, so widening it costs only computation.</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CLIMATE FOOTPRINT</w:t>
            </w:r>
          </w:p>
        </w:tc>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Circle of 5 km radius</w:t>
            </w:r>
          </w:p>
        </w:tc>
        <w:tc>
          <w:tcPr>
            <w:tcW w:type="dxa" w:w="4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CHIRPS rainfall only. Rainfall grids are ~5 km, so a 150 m extraction would return one grid cell repeated.</w:t>
            </w:r>
          </w:p>
        </w:tc>
      </w:tr>
      <w:tr>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REFERENCE SITES</w:t>
            </w:r>
          </w:p>
        </w:tc>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FIVE circles — 75, 110, 150, 210 and 300 m (1.77, 3.80, 7.07, 13.85 and 28.27 ha)</w:t>
            </w:r>
          </w:p>
        </w:tc>
        <w:tc>
          <w:tcPr>
            <w:tcW w:type="dxa" w:w="4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same metric set at each radius. Every study site is rescaled against whichever circle is closest in AREA to its polygon. Reference sites stay CIRCLES because they are rulers, not comparison partners — what matters is how much ground they average, not its shape (§0.4). Five sizes rather than three, because polygon areas spread more widely than three sizes can cover.</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COMMON ZONE</w:t>
            </w:r>
          </w:p>
        </w:tc>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Circle of 150 m radius, at EVERY study and cohort site</w:t>
            </w:r>
          </w:p>
        </w:tc>
        <w:tc>
          <w:tcPr>
            <w:tcW w:type="dxa" w:w="4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NEW IN v3.4. The same metric set at one shared radius. It does three jobs: it is the outcome for the size-gradient analysis A9, which needs a common measurement scale; it supplies the configuration dimension for small-class sites, where a 100 m zone holds too few window-areas; and it is the alternative specification in sensitivity check SC1. For medium-class sites it coincides with the primary zone and only one copy is written.</w:t>
            </w:r>
          </w:p>
        </w:tc>
      </w:tr>
      <w:tr>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COHORT SITES</w:t>
            </w:r>
          </w:p>
        </w:tc>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same six zones as study sites, at their own size-class radius</w:t>
            </w:r>
          </w:p>
        </w:tc>
        <w:tc>
          <w:tcPr>
            <w:tcW w:type="dxa" w:w="4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same metric set, but over NINE vegetation years (2017–2025) rather than seven, so that three pre-onset years are available for every community in the core cohort (onset 2020–2021), and two for any 2019-onset extension site.</w:t>
            </w:r>
          </w:p>
        </w:tc>
      </w:tr>
    </w:tbl>
    <w:p>
      <w:pPr>
        <w:spacing w:after="120"/>
      </w:pPr>
    </w:p>
    <w:tbl>
      <w:tblPr>
        <w:tblW w:type="dxa" w:w="9020"/>
        <w:tblBorders>
          <w:top w:val="none" w:color="FFFFFF" w:sz="0"/>
          <w:left w:val="single" w:color="C0504D" w:sz="18"/>
          <w:bottom w:val="none" w:color="FFFFFF" w:sz="0"/>
          <w:right w:val="none" w:color="FFFFFF" w:sz="0"/>
          <w:insideH w:val="none" w:color="FFFFFF" w:sz="0"/>
          <w:insideV w:val="none" w:color="FFFFFF" w:sz="0"/>
        </w:tblBorders>
      </w:tblPr>
      <w:tblGrid>
        <w:gridCol w:w="9020"/>
      </w:tblGrid>
      <w:tr>
        <w:tc>
          <w:tcPr>
            <w:tcW w:type="dxa" w:w="9020"/>
            <w:shd w:fill="FDECEC" w:color="auto" w:val="clear"/>
            <w:tcMar>
              <w:top w:type="dxa" w:w="150"/>
              <w:left w:type="dxa" w:w="180"/>
              <w:bottom w:type="dxa" w:w="150"/>
              <w:right w:type="dxa" w:w="180"/>
            </w:tcMar>
          </w:tcPr>
          <w:p>
            <w:pPr>
              <w:spacing w:after="90"/>
            </w:pPr>
            <w:r>
              <w:rPr>
                <w:rFonts w:ascii="Calibri" w:cs="Calibri" w:eastAsia="Calibri" w:hAnsi="Calibri"/>
                <w:b/>
                <w:bCs/>
                <w:color w:val="C0504D"/>
                <w:sz w:val="21"/>
                <w:szCs w:val="21"/>
              </w:rPr>
              <w:t xml:space="preserve">Why reference sites use the same 150 m zone</w:t>
            </w:r>
          </w:p>
          <w:p>
            <w:pPr>
              <w:spacing w:after="90" w:line="276"/>
              <w:jc w:val="both"/>
            </w:pPr>
            <w:r>
              <w:rPr>
                <w:rFonts w:ascii="Calibri" w:cs="Calibri" w:eastAsia="Calibri" w:hAnsi="Calibri"/>
                <w:sz w:val="20"/>
                <w:szCs w:val="20"/>
              </w:rPr>
              <w:t xml:space="preserve">The variance of a spatial mean depends on the area averaged. If reference values were computed over a different-sized unit than study values, the reference distribution would be wider or narrower than it should be, and every rescaled score in the study would be biased.</w:t>
            </w:r>
          </w:p>
          <w:p>
            <w:pPr>
              <w:spacing w:after="90" w:line="276"/>
              <w:jc w:val="both"/>
            </w:pPr>
            <w:r>
              <w:rPr>
                <w:rFonts w:ascii="Calibri" w:cs="Calibri" w:eastAsia="Calibri" w:hAnsi="Calibri"/>
                <w:sz w:val="20"/>
                <w:szCs w:val="20"/>
              </w:rPr>
              <w:t xml:space="preserve">This is easy to get wrong and impossible to detect afterwards from the values alone. Use 150 m everywhere, for every site class.</w:t>
            </w:r>
          </w:p>
        </w:tc>
      </w:tr>
    </w:tbl>
    <w:p>
      <w:pPr>
        <w:spacing w:after="140"/>
      </w:pPr>
    </w:p>
    <w:p>
      <w:pPr>
        <w:pStyle w:val="Heading2"/>
        <w:spacing w:after="130" w:before="280"/>
      </w:pPr>
      <w:r>
        <w:rPr>
          <w:rFonts w:ascii="Calibri" w:cs="Calibri" w:eastAsia="Calibri" w:hAnsi="Calibri"/>
          <w:b/>
          <w:bCs/>
          <w:color w:val="2E5496"/>
          <w:sz w:val="25"/>
          <w:szCs w:val="25"/>
        </w:rPr>
        <w:t xml:space="preserve">4.4  Extraction output — what the script should write</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6420"/>
      </w:tblGrid>
      <w:tr>
        <w:trPr>
          <w:tblHeader/>
        </w:trPr>
        <w:tc>
          <w:tcPr>
            <w:tcW w:type="dxa" w:w="26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Table</w:t>
            </w:r>
          </w:p>
        </w:tc>
        <w:tc>
          <w:tcPr>
            <w:tcW w:type="dxa" w:w="64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Grain and contents</w:t>
            </w:r>
          </w:p>
        </w:tc>
      </w:tr>
      <w:tr>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ANNUAL TABLE</w:t>
            </w:r>
          </w:p>
        </w:tc>
        <w:tc>
          <w:tcPr>
            <w:tcW w:type="dxa" w:w="6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One row per site per zone per vegetation year. The three configuration metrics appear THREE TIMES EACH — at 40 m, 70 m and 100 m window radius — as extra COLUMNS, not extra rows, so the row count is unaffected (§9.6). Columns: site_id, zone, veg_year, the twelve monthly composite values for each of the six indices reduced to the annual summaries needed (integral, peak, minimum, month-of-peak, month-of-minimum, cross-month standard deviation), n_clear, n_months_with_data, valid_pixel_fraction. PLUS the three configuration metrics VM10, VM11 and VM12 computed at THREE window radii — 40, 70 and 100 m — which adds six columns, NOT extra rows (SC17).</w:t>
            </w:r>
          </w:p>
        </w:tc>
      </w:tr>
      <w:tr>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STATIC TABLE</w:t>
            </w:r>
          </w:p>
        </w:tc>
        <w:tc>
          <w:tcPr>
            <w:tcW w:type="dxa" w:w="6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One row per site per zone. Columns: elevation, slope, canopy height, the five land-cover probabilities, built fraction, and distance to permanent surface water.</w:t>
            </w:r>
          </w:p>
        </w:tc>
      </w:tr>
      <w:tr>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CLIMATE TABLE</w:t>
            </w:r>
          </w:p>
        </w:tc>
        <w:tc>
          <w:tcPr>
            <w:tcW w:type="dxa" w:w="6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One row per site per vegetation year. Columns: annual rainfall total, long-term rainfall mean, driest month, AND the percentile of that year’s rainfall against the site’s own long-term climatology of at least twenty years. That last column is what defines a drought year for SC14, and it must come from the long record rather than from the seven-year window.</w:t>
            </w:r>
          </w:p>
        </w:tc>
      </w:tr>
      <w:tr>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DISTURBANCE TABLE</w:t>
            </w:r>
          </w:p>
        </w:tc>
        <w:tc>
          <w:tcPr>
            <w:tcW w:type="dxa" w:w="6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One row per site. Columns: burned-area flag by year, permanent-water fraction.</w:t>
            </w:r>
          </w:p>
        </w:tc>
      </w:tr>
    </w:tbl>
    <w:p>
      <w:pPr>
        <w:spacing w:after="120"/>
      </w:pPr>
    </w:p>
    <w:p>
      <w:pPr>
        <w:spacing w:after="120" w:line="276"/>
        <w:jc w:val="both"/>
      </w:pPr>
      <w:r>
        <w:rPr>
          <w:rFonts w:ascii="Calibri" w:cs="Calibri" w:eastAsia="Calibri" w:hAnsi="Calibri"/>
          <w:b w:val="false"/>
          <w:bCs w:val="false"/>
          <w:i w:val="false"/>
          <w:iCs w:val="false"/>
          <w:color w:val="000000"/>
          <w:sz w:val="21"/>
          <w:szCs w:val="21"/>
        </w:rPr>
        <w:t xml:space="preserve">Expected size of the annual table:</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3000"/>
        <w:gridCol w:w="1500"/>
        <w:gridCol w:w="1600"/>
        <w:gridCol w:w="2920"/>
      </w:tblGrid>
      <w:tr>
        <w:trPr>
          <w:tblHeader/>
        </w:trPr>
        <w:tc>
          <w:tcPr>
            <w:tcW w:type="dxa" w:w="30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Component</w:t>
            </w:r>
          </w:p>
        </w:tc>
        <w:tc>
          <w:tcPr>
            <w:tcW w:type="dxa" w:w="15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Sites</w:t>
            </w:r>
          </w:p>
        </w:tc>
        <w:tc>
          <w:tcPr>
            <w:tcW w:type="dxa" w:w="16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Zones × years</w:t>
            </w:r>
          </w:p>
        </w:tc>
        <w:tc>
          <w:tcPr>
            <w:tcW w:type="dxa" w:w="29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Rows</w:t>
            </w:r>
          </w:p>
        </w:tc>
      </w:tr>
      <w:tr>
        <w:tc>
          <w:tcPr>
            <w:tcW w:type="dxa" w:w="30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Main study — polygon, 5 rings, common circle</w:t>
            </w:r>
          </w:p>
        </w:tc>
        <w:tc>
          <w:tcPr>
            <w:tcW w:type="dxa" w:w="15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848</w:t>
            </w:r>
          </w:p>
        </w:tc>
        <w:tc>
          <w:tcPr>
            <w:tcW w:type="dxa" w:w="1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7 × 7 (2019–2025)</w:t>
            </w:r>
          </w:p>
        </w:tc>
        <w:tc>
          <w:tcPr>
            <w:tcW w:type="dxa" w:w="29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41,552</w:t>
            </w:r>
          </w:p>
        </w:tc>
      </w:tr>
      <w:tr>
        <w:tc>
          <w:tcPr>
            <w:tcW w:type="dxa" w:w="30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Reference sites at ALL FIVE radii</w:t>
            </w:r>
          </w:p>
        </w:tc>
        <w:tc>
          <w:tcPr>
            <w:tcW w:type="dxa" w:w="15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1,350</w:t>
            </w:r>
          </w:p>
        </w:tc>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5 × 7</w:t>
            </w:r>
          </w:p>
        </w:tc>
        <w:tc>
          <w:tcPr>
            <w:tcW w:type="dxa" w:w="29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47,250</w:t>
            </w:r>
          </w:p>
        </w:tc>
      </w:tr>
      <w:tr>
        <w:tc>
          <w:tcPr>
            <w:tcW w:type="dxa" w:w="30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Cohort — polygon, 5 rings, common circle</w:t>
            </w:r>
          </w:p>
        </w:tc>
        <w:tc>
          <w:tcPr>
            <w:tcW w:type="dxa" w:w="15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260</w:t>
            </w:r>
          </w:p>
        </w:tc>
        <w:tc>
          <w:tcPr>
            <w:tcW w:type="dxa" w:w="1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7 × 9 (2017–2025)</w:t>
            </w:r>
          </w:p>
        </w:tc>
        <w:tc>
          <w:tcPr>
            <w:tcW w:type="dxa" w:w="29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16,380</w:t>
            </w:r>
          </w:p>
        </w:tc>
      </w:tr>
      <w:tr>
        <w:tc>
          <w:tcPr>
            <w:tcW w:type="dxa" w:w="30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TOTAL</w:t>
            </w:r>
          </w:p>
        </w:tc>
        <w:tc>
          <w:tcPr>
            <w:tcW w:type="dxa" w:w="15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2,458</w:t>
            </w:r>
          </w:p>
        </w:tc>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t>
            </w:r>
          </w:p>
        </w:tc>
        <w:tc>
          <w:tcPr>
            <w:tcW w:type="dxa" w:w="29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105,182</w:t>
            </w:r>
          </w:p>
        </w:tc>
      </w:tr>
    </w:tbl>
    <w:p>
      <w:pPr>
        <w:spacing w:after="120"/>
      </w:pPr>
    </w:p>
    <w:p>
      <w:pPr>
        <w:spacing w:after="120" w:line="276"/>
        <w:jc w:val="both"/>
      </w:pPr>
      <w:r>
        <w:rPr>
          <w:rFonts w:ascii="Calibri" w:cs="Calibri" w:eastAsia="Calibri" w:hAnsi="Calibri"/>
          <w:b/>
          <w:bCs/>
          <w:i w:val="false"/>
          <w:iCs w:val="false"/>
          <w:color w:val="000000"/>
          <w:sz w:val="21"/>
          <w:szCs w:val="21"/>
        </w:rPr>
        <w:t xml:space="preserve">Why the panel keeps growing. </w:t>
      </w:r>
      <w:r>
        <w:rPr>
          <w:rFonts w:ascii="Calibri" w:cs="Calibri" w:eastAsia="Calibri" w:hAnsi="Calibri"/>
          <w:b w:val="false"/>
          <w:bCs w:val="false"/>
          <w:i w:val="false"/>
          <w:iCs w:val="false"/>
          <w:color w:val="000000"/>
          <w:sz w:val="21"/>
          <w:szCs w:val="21"/>
        </w:rPr>
        <w:t xml:space="preserve">Most of it is the reference pools — five radii now instead of one. That is unavoidable: rescaling a 2-hectare polygon against a 7-hectare reference distribution would bias it, and nothing downstream would reveal the error. The rest is the common 150 m circle at every site, which pays for the size-gradient analysis A9, the configuration dimension and sensitivity check SC1 all at once. The file is still small; the computation is heavy but the output is not.</w:t>
      </w:r>
    </w:p>
    <w:p>
      <w:pPr>
        <w:spacing w:after="120"/>
      </w:pPr>
    </w:p>
    <w:p>
      <w:pPr>
        <w:spacing w:after="120" w:line="276"/>
        <w:jc w:val="both"/>
      </w:pPr>
      <w:r>
        <w:rPr>
          <w:rFonts w:ascii="Calibri" w:cs="Calibri" w:eastAsia="Calibri" w:hAnsi="Calibri"/>
          <w:b w:val="false"/>
          <w:bCs w:val="false"/>
          <w:i w:val="false"/>
          <w:iCs w:val="false"/>
          <w:color w:val="000000"/>
          <w:sz w:val="21"/>
          <w:szCs w:val="21"/>
        </w:rPr>
        <w:t xml:space="preserve">This is still a small file; the computation is heavy but the output is not.</w:t>
      </w:r>
    </w:p>
    <w:p>
      <w:pPr>
        <w:spacing w:after="120" w:line="276"/>
        <w:jc w:val="both"/>
      </w:pPr>
      <w:r>
        <w:rPr>
          <w:rFonts w:ascii="Calibri" w:cs="Calibri" w:eastAsia="Calibri" w:hAnsi="Calibri"/>
          <w:b/>
          <w:bCs/>
          <w:i w:val="false"/>
          <w:iCs w:val="false"/>
          <w:color w:val="000000"/>
          <w:sz w:val="21"/>
          <w:szCs w:val="21"/>
        </w:rPr>
        <w:t xml:space="preserve">Two windows, deliberately. </w:t>
      </w:r>
      <w:r>
        <w:rPr>
          <w:rFonts w:ascii="Calibri" w:cs="Calibri" w:eastAsia="Calibri" w:hAnsi="Calibri"/>
          <w:b w:val="false"/>
          <w:bCs w:val="false"/>
          <w:i w:val="false"/>
          <w:iCs w:val="false"/>
          <w:color w:val="000000"/>
          <w:sz w:val="21"/>
          <w:szCs w:val="21"/>
        </w:rPr>
        <w:t xml:space="preserve">The main study uses 2019–2025 and the cohort uses 2017–2025. Keeping the main window at seven years preserves comparability with the pilot, which measured the residual variation of 0.089 NDVI on exactly that window. Extending the main sites to nine years would change the interannual variability metric and both flag components for no analytical gain. The cohort needs the extra two years and nothing else does.</w:t>
      </w:r>
    </w:p>
    <w:p>
      <w:pPr>
        <w:pStyle w:val="Heading2"/>
        <w:spacing w:after="130" w:before="280"/>
      </w:pPr>
      <w:r>
        <w:rPr>
          <w:rFonts w:ascii="Calibri" w:cs="Calibri" w:eastAsia="Calibri" w:hAnsi="Calibri"/>
          <w:b/>
          <w:bCs/>
          <w:color w:val="2E5496"/>
          <w:sz w:val="25"/>
          <w:szCs w:val="25"/>
        </w:rPr>
        <w:t xml:space="preserve">4.5  Practical notes from the pilot</w:t>
      </w:r>
    </w:p>
    <w:p>
      <w:pPr>
        <w:pStyle w:val="ListParagraph"/>
        <w:numPr>
          <w:ilvl w:val="0"/>
          <w:numId w:val="3"/>
        </w:numPr>
        <w:spacing w:after="80" w:line="276"/>
        <w:jc w:val="both"/>
      </w:pPr>
      <w:r>
        <w:rPr>
          <w:rFonts w:ascii="Calibri" w:cs="Calibri" w:eastAsia="Calibri" w:hAnsi="Calibri"/>
          <w:sz w:val="21"/>
          <w:szCs w:val="21"/>
        </w:rPr>
        <w:t xml:space="preserve">Chunk the export by year and by site block. A single export covering everything will time out. Seven years × six chunks worked reliably.</w:t>
      </w:r>
    </w:p>
    <w:p>
      <w:pPr>
        <w:pStyle w:val="ListParagraph"/>
        <w:numPr>
          <w:ilvl w:val="0"/>
          <w:numId w:val="3"/>
        </w:numPr>
        <w:spacing w:after="80" w:line="276"/>
        <w:jc w:val="both"/>
      </w:pPr>
      <w:r>
        <w:rPr>
          <w:rFonts w:ascii="Calibri" w:cs="Calibri" w:eastAsia="Calibri" w:hAnsi="Calibri"/>
          <w:sz w:val="21"/>
          <w:szCs w:val="21"/>
        </w:rPr>
        <w:t xml:space="preserve">Avoid ee.Algorithms.If and lists of FeatureCollections with flatten inside Code Editor scripts — both break graph serialisation and produce an uninformative error. Build monthly composites by filtering a collection, not by conditional branching.</w:t>
      </w:r>
    </w:p>
    <w:p>
      <w:pPr>
        <w:pStyle w:val="ListParagraph"/>
        <w:numPr>
          <w:ilvl w:val="0"/>
          <w:numId w:val="3"/>
        </w:numPr>
        <w:spacing w:after="80" w:line="276"/>
        <w:jc w:val="both"/>
      </w:pPr>
      <w:r>
        <w:rPr>
          <w:rFonts w:ascii="Calibri" w:cs="Calibri" w:eastAsia="Calibri" w:hAnsi="Calibri"/>
          <w:sz w:val="21"/>
          <w:szCs w:val="21"/>
        </w:rPr>
        <w:t xml:space="preserve">Force every band to float before combining images into a collection. A single integer-typed placeholder makes the collection heterogeneous and reducers reject it.</w:t>
      </w:r>
    </w:p>
    <w:p>
      <w:pPr>
        <w:pStyle w:val="ListParagraph"/>
        <w:numPr>
          <w:ilvl w:val="0"/>
          <w:numId w:val="3"/>
        </w:numPr>
        <w:spacing w:after="80" w:line="276"/>
        <w:jc w:val="both"/>
      </w:pPr>
      <w:r>
        <w:rPr>
          <w:rFonts w:ascii="Calibri" w:cs="Calibri" w:eastAsia="Calibri" w:hAnsi="Calibri"/>
          <w:sz w:val="21"/>
          <w:szCs w:val="21"/>
        </w:rPr>
        <w:t xml:space="preserve">Never use a sentinel value such as −9999 for missing months. Drop empty months from the list instead. A placeholder that is not properly masked silently poisons every composite that includes it, and does so worst in the cloudiest regions.</w:t>
      </w:r>
    </w:p>
    <w:p>
      <w:pPr>
        <w:pStyle w:val="ListParagraph"/>
        <w:numPr>
          <w:ilvl w:val="0"/>
          <w:numId w:val="3"/>
        </w:numPr>
        <w:spacing w:after="80" w:line="276"/>
        <w:jc w:val="both"/>
      </w:pPr>
      <w:r>
        <w:rPr>
          <w:rFonts w:ascii="Calibri" w:cs="Calibri" w:eastAsia="Calibri" w:hAnsi="Calibri"/>
          <w:sz w:val="21"/>
          <w:szCs w:val="21"/>
        </w:rPr>
        <w:t xml:space="preserve">Print the row count at the end of every export and compare it against what you expect arithmetically. This catches most problems within a minute.</w:t>
      </w:r>
    </w:p>
    <w:p>
      <w:pPr>
        <w:pStyle w:val="ListParagraph"/>
        <w:numPr>
          <w:ilvl w:val="0"/>
          <w:numId w:val="3"/>
        </w:numPr>
        <w:spacing w:after="80" w:line="276"/>
        <w:jc w:val="both"/>
      </w:pPr>
      <w:r>
        <w:rPr>
          <w:rFonts w:ascii="Calibri" w:cs="Calibri" w:eastAsia="Calibri" w:hAnsi="Calibri"/>
          <w:sz w:val="21"/>
          <w:szCs w:val="21"/>
        </w:rPr>
        <w:t xml:space="preserve">Compute the three configuration metrics at all THREE window radii in ONE pass. Build the 40, 70 and 100 m kernels once and apply each to the SAME composited image — recomputing the composites three times would triple the cost for no gain.</w:t>
      </w:r>
    </w:p>
    <w:p>
      <w:pPr>
        <w:pStyle w:val="ListParagraph"/>
        <w:numPr>
          <w:ilvl w:val="0"/>
          <w:numId w:val="3"/>
        </w:numPr>
        <w:spacing w:after="80" w:line="276"/>
        <w:jc w:val="both"/>
      </w:pPr>
      <w:r>
        <w:rPr>
          <w:rFonts w:ascii="Calibri" w:cs="Calibri" w:eastAsia="Calibri" w:hAnsi="Calibri"/>
          <w:sz w:val="21"/>
          <w:szCs w:val="21"/>
        </w:rPr>
        <w:t xml:space="preserve">Run the cohort extraction as a SEPARATE export with its own nine-year window. Run the reference-pool extraction as a THIRD export, because it uses three zone radii and no rings — mixing it with the study sites is a reliable way to produce a table where the zone definitions do not mean what you think. Mixing two window lengths inside one export is a reliable way to produce a table where some sites silently have two extra years and others do not.</w:t>
      </w:r>
    </w:p>
    <w:p>
      <w:pPr>
        <w:pStyle w:val="Heading2"/>
        <w:spacing w:after="130" w:before="280"/>
      </w:pPr>
      <w:r>
        <w:rPr>
          <w:rFonts w:ascii="Calibri" w:cs="Calibri" w:eastAsia="Calibri" w:hAnsi="Calibri"/>
          <w:b/>
          <w:bCs/>
          <w:color w:val="2E5496"/>
          <w:sz w:val="25"/>
          <w:szCs w:val="25"/>
        </w:rPr>
        <w:t xml:space="preserve">4.6  Non-satellite data</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2000"/>
        <w:gridCol w:w="4620"/>
      </w:tblGrid>
      <w:tr>
        <w:trPr>
          <w:tblHeader/>
        </w:trPr>
        <w:tc>
          <w:tcPr>
            <w:tcW w:type="dxa" w:w="24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Data</w:t>
            </w:r>
          </w:p>
        </w:tc>
        <w:tc>
          <w:tcPr>
            <w:tcW w:type="dxa" w:w="20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Source</w:t>
            </w:r>
          </w:p>
        </w:tc>
        <w:tc>
          <w:tcPr>
            <w:tcW w:type="dxa" w:w="46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Used for</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Onset year and its uncertainty band</w:t>
            </w:r>
          </w:p>
        </w:tc>
        <w:tc>
          <w:tcPr>
            <w:tcW w:type="dxa" w:w="20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Documentary coding, Stage 1</w:t>
            </w:r>
          </w:p>
        </w:tc>
        <w:tc>
          <w:tcPr>
            <w:tcW w:type="dxa" w:w="4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ONSET_AGE; analysis A4</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Thirteen practice codes</w:t>
            </w:r>
          </w:p>
        </w:tc>
        <w:tc>
          <w:tcPr>
            <w:tcW w:type="dxa" w:w="20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Documentary coding</w:t>
            </w:r>
          </w:p>
        </w:tc>
        <w:tc>
          <w:tcPr>
            <w:tcW w:type="dxa" w:w="4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PC01–PC13; analysis A6</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Resident population</w:t>
            </w:r>
          </w:p>
        </w:tc>
        <w:tc>
          <w:tcPr>
            <w:tcW w:type="dxa" w:w="20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Documentary coding</w:t>
            </w:r>
          </w:p>
        </w:tc>
        <w:tc>
          <w:tcPr>
            <w:tcW w:type="dxa" w:w="4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Matching and a control variable</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Actively managed area</w:t>
            </w:r>
          </w:p>
        </w:tc>
        <w:tc>
          <w:tcPr>
            <w:tcW w:type="dxa" w:w="20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Documentary coding AND visual tracing</w:t>
            </w:r>
          </w:p>
        </w:tc>
        <w:tc>
          <w:tcPr>
            <w:tcW w:type="dxa" w:w="4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LOAD-BEARING SINCE v3.4. It does two jobs: together with the visual extent it sets the SIZE CLASS and therefore the measurement radius (§0.4), and it is the predictor in analysis A9. Code it with the same care as the onset date and report its reliability.</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Activity verification tier</w:t>
            </w:r>
          </w:p>
        </w:tc>
        <w:tc>
          <w:tcPr>
            <w:tcW w:type="dxa" w:w="20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Documentary coding</w:t>
            </w:r>
          </w:p>
        </w:tc>
        <w:tc>
          <w:tcPr>
            <w:tcW w:type="dxa" w:w="4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moderator</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Status and persistence</w:t>
            </w:r>
          </w:p>
        </w:tc>
        <w:tc>
          <w:tcPr>
            <w:tcW w:type="dxa" w:w="20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Documentary coding</w:t>
            </w:r>
          </w:p>
        </w:tc>
        <w:tc>
          <w:tcPr>
            <w:tcW w:type="dxa" w:w="4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Reported; dissolved sites analysed separately (§11.4)</w:t>
            </w:r>
          </w:p>
        </w:tc>
      </w:tr>
    </w:tbl>
    <w:p>
      <w:pPr>
        <w:spacing w:after="120"/>
      </w:pPr>
    </w:p>
    <w:p>
      <w:pPr>
        <w:spacing w:after="120" w:line="276"/>
        <w:jc w:val="both"/>
      </w:pPr>
      <w:r>
        <w:rPr>
          <w:rFonts w:ascii="Calibri" w:cs="Calibri" w:eastAsia="Calibri" w:hAnsi="Calibri"/>
          <w:b/>
          <w:bCs/>
          <w:i w:val="false"/>
          <w:iCs w:val="false"/>
          <w:color w:val="000000"/>
          <w:sz w:val="21"/>
          <w:szCs w:val="21"/>
        </w:rPr>
        <w:t xml:space="preserve">Managed area is deliberately demoted. </w:t>
      </w:r>
      <w:r>
        <w:rPr>
          <w:rFonts w:ascii="Calibri" w:cs="Calibri" w:eastAsia="Calibri" w:hAnsi="Calibri"/>
          <w:b w:val="false"/>
          <w:bCs w:val="false"/>
          <w:i w:val="false"/>
          <w:iCs w:val="false"/>
          <w:color w:val="000000"/>
          <w:sz w:val="21"/>
          <w:szCs w:val="21"/>
        </w:rPr>
        <w:t xml:space="preserve">In the old design it set each site’s measurement radius, which made it load-bearing and forced a great deal of machinery around the reliability of a self-reported number. With a fixed 150 m zone it becomes an ordinary descriptive variable, and a whole layer of complexity disappears with it.</w:t>
      </w:r>
    </w:p>
    <w:p>
      <w:r>
        <w:br w:type="page"/>
      </w:r>
    </w:p>
    <w:p>
      <w:pPr>
        <w:pStyle w:val="Heading1"/>
        <w:pBdr>
          <w:bottom w:val="single" w:color="1F3864" w:sz="12" w:space="6"/>
        </w:pBdr>
        <w:spacing w:after="200" w:before="400"/>
      </w:pPr>
      <w:r>
        <w:rPr>
          <w:rFonts w:ascii="Calibri" w:cs="Calibri" w:eastAsia="Calibri" w:hAnsi="Calibri"/>
          <w:b/>
          <w:bCs/>
          <w:color w:val="1F3864"/>
          <w:sz w:val="32"/>
          <w:szCs w:val="32"/>
        </w:rPr>
        <w:t xml:space="preserve">Part 5  ·  Data preparation</w:t>
      </w:r>
    </w:p>
    <w:tbl>
      <w:tblPr>
        <w:tblW w:type="dxa" w:w="9020"/>
        <w:tblBorders>
          <w:top w:val="none" w:color="FFFFFF" w:sz="0"/>
          <w:left w:val="single" w:color="C0504D" w:sz="18"/>
          <w:bottom w:val="none" w:color="FFFFFF" w:sz="0"/>
          <w:right w:val="none" w:color="FFFFFF" w:sz="0"/>
          <w:insideH w:val="none" w:color="FFFFFF" w:sz="0"/>
          <w:insideV w:val="none" w:color="FFFFFF" w:sz="0"/>
        </w:tblBorders>
      </w:tblPr>
      <w:tblGrid>
        <w:gridCol w:w="9020"/>
      </w:tblGrid>
      <w:tr>
        <w:tc>
          <w:tcPr>
            <w:tcW w:type="dxa" w:w="9020"/>
            <w:shd w:fill="FDECEC" w:color="auto" w:val="clear"/>
            <w:tcMar>
              <w:top w:type="dxa" w:w="150"/>
              <w:left w:type="dxa" w:w="180"/>
              <w:bottom w:type="dxa" w:w="150"/>
              <w:right w:type="dxa" w:w="180"/>
            </w:tcMar>
          </w:tcPr>
          <w:p>
            <w:pPr>
              <w:spacing w:after="90"/>
            </w:pPr>
            <w:r>
              <w:rPr>
                <w:rFonts w:ascii="Calibri" w:cs="Calibri" w:eastAsia="Calibri" w:hAnsi="Calibri"/>
                <w:b/>
                <w:bCs/>
                <w:color w:val="C0504D"/>
                <w:sz w:val="21"/>
                <w:szCs w:val="21"/>
              </w:rPr>
              <w:t xml:space="preserve">Why this part is the longest</w:t>
            </w:r>
          </w:p>
          <w:p>
            <w:pPr>
              <w:spacing w:after="90" w:line="276"/>
              <w:jc w:val="both"/>
            </w:pPr>
            <w:r>
              <w:rPr>
                <w:rFonts w:ascii="Calibri" w:cs="Calibri" w:eastAsia="Calibri" w:hAnsi="Calibri"/>
                <w:sz w:val="20"/>
                <w:szCs w:val="20"/>
              </w:rPr>
              <w:t xml:space="preserve">Data preparation is where most remote-sensing studies actually fail, and the failures are quiet. A processing error usually announces itself — values go out of range, a map looks wrong. A preparation error usually does not: every number in the table stays plausible while the sample size, the weighting or the meaning of a column has silently changed.</w:t>
            </w:r>
          </w:p>
          <w:p>
            <w:pPr>
              <w:spacing w:after="90" w:line="276"/>
              <w:jc w:val="both"/>
            </w:pPr>
            <w:r>
              <w:rPr>
                <w:rFonts w:ascii="Calibri" w:cs="Calibri" w:eastAsia="Calibri" w:hAnsi="Calibri"/>
                <w:sz w:val="20"/>
                <w:szCs w:val="20"/>
              </w:rPr>
              <w:t xml:space="preserve">Version 1.0 of this plan covered this in a few lines. That was the single largest gap in it. What follows is the full sequence, in the order you run it.</w:t>
            </w:r>
          </w:p>
        </w:tc>
      </w:tr>
    </w:tbl>
    <w:p>
      <w:pPr>
        <w:spacing w:after="140"/>
      </w:pPr>
    </w:p>
    <w:p>
      <w:pPr>
        <w:pStyle w:val="Heading2"/>
        <w:spacing w:after="130" w:before="280"/>
      </w:pPr>
      <w:r>
        <w:rPr>
          <w:rFonts w:ascii="Calibri" w:cs="Calibri" w:eastAsia="Calibri" w:hAnsi="Calibri"/>
          <w:b/>
          <w:bCs/>
          <w:color w:val="2E5496"/>
          <w:sz w:val="25"/>
          <w:szCs w:val="25"/>
        </w:rPr>
        <w:t xml:space="preserve">5.1  The preparation sequence at a glance</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700"/>
        <w:gridCol w:w="2600"/>
        <w:gridCol w:w="5720"/>
      </w:tblGrid>
      <w:tr>
        <w:trPr>
          <w:tblHeader/>
        </w:trPr>
        <w:tc>
          <w:tcPr>
            <w:tcW w:type="dxa" w:w="7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c>
          <w:tcPr>
            <w:tcW w:type="dxa" w:w="26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Step</w:t>
            </w:r>
          </w:p>
        </w:tc>
        <w:tc>
          <w:tcPr>
            <w:tcW w:type="dxa" w:w="57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What it does</w:t>
            </w:r>
          </w:p>
        </w:tc>
      </w:tr>
      <w:tr>
        <w:tc>
          <w:tcPr>
            <w:tcW w:type="dxa" w:w="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DP1</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Cloud, shadow, snow and water masking</w:t>
            </w:r>
          </w:p>
        </w:tc>
        <w:tc>
          <w:tcPr>
            <w:tcW w:type="dxa" w:w="57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Removes observations that are not of the land surface.</w:t>
            </w:r>
          </w:p>
        </w:tc>
      </w:tr>
      <w:tr>
        <w:tc>
          <w:tcPr>
            <w:tcW w:type="dxa" w:w="7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DP2</w:t>
            </w:r>
          </w:p>
        </w:tc>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Topographic illumination correction</w:t>
            </w:r>
          </w:p>
        </w:tc>
        <w:tc>
          <w:tcPr>
            <w:tcW w:type="dxa" w:w="57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Removes the effect of slope aspect on reflectance.</w:t>
            </w:r>
          </w:p>
        </w:tc>
      </w:tr>
      <w:tr>
        <w:tc>
          <w:tcPr>
            <w:tcW w:type="dxa" w:w="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DP3</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Built-up masking</w:t>
            </w:r>
          </w:p>
        </w:tc>
        <w:tc>
          <w:tcPr>
            <w:tcW w:type="dxa" w:w="57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Separates the CONDITION measurement from the COMPOSITION measurement.</w:t>
            </w:r>
          </w:p>
        </w:tc>
      </w:tr>
      <w:tr>
        <w:tc>
          <w:tcPr>
            <w:tcW w:type="dxa" w:w="7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DP4</w:t>
            </w:r>
          </w:p>
        </w:tc>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Monthly compositing</w:t>
            </w:r>
          </w:p>
        </w:tc>
        <w:tc>
          <w:tcPr>
            <w:tcW w:type="dxa" w:w="57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Turns irregular observations into a regular twelve-month series.</w:t>
            </w:r>
          </w:p>
        </w:tc>
      </w:tr>
      <w:tr>
        <w:tc>
          <w:tcPr>
            <w:tcW w:type="dxa" w:w="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DP5</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Vegetation-year alignment</w:t>
            </w:r>
          </w:p>
        </w:tc>
        <w:tc>
          <w:tcPr>
            <w:tcW w:type="dxa" w:w="57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Puts every site’s growing season in the same place in its own year.</w:t>
            </w:r>
          </w:p>
        </w:tc>
      </w:tr>
      <w:tr>
        <w:tc>
          <w:tcPr>
            <w:tcW w:type="dxa" w:w="7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DP6</w:t>
            </w:r>
          </w:p>
        </w:tc>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Annual metric computation</w:t>
            </w:r>
          </w:p>
        </w:tc>
        <w:tc>
          <w:tcPr>
            <w:tcW w:type="dxa" w:w="57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Reduces twelve monthly values to the annual metrics of Part 3.</w:t>
            </w:r>
          </w:p>
        </w:tc>
      </w:tr>
      <w:tr>
        <w:tc>
          <w:tcPr>
            <w:tcW w:type="dxa" w:w="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DP7</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Quality screening</w:t>
            </w:r>
          </w:p>
        </w:tc>
        <w:tc>
          <w:tcPr>
            <w:tcW w:type="dxa" w:w="57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Decides which site-years are good enough to keep.</w:t>
            </w:r>
          </w:p>
        </w:tc>
      </w:tr>
      <w:tr>
        <w:tc>
          <w:tcPr>
            <w:tcW w:type="dxa" w:w="7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DP8</w:t>
            </w:r>
          </w:p>
        </w:tc>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Panel assembly</w:t>
            </w:r>
          </w:p>
        </w:tc>
        <w:tc>
          <w:tcPr>
            <w:tcW w:type="dxa" w:w="57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Joins six separate products into one analysis table.</w:t>
            </w:r>
          </w:p>
        </w:tc>
      </w:tr>
      <w:tr>
        <w:tc>
          <w:tcPr>
            <w:tcW w:type="dxa" w:w="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DP9</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Integrity checks</w:t>
            </w:r>
          </w:p>
        </w:tc>
        <w:tc>
          <w:tcPr>
            <w:tcW w:type="dxa" w:w="57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Confirms the join did not silently change the data.</w:t>
            </w:r>
          </w:p>
        </w:tc>
      </w:tr>
      <w:tr>
        <w:tc>
          <w:tcPr>
            <w:tcW w:type="dxa" w:w="7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DP10</w:t>
            </w:r>
          </w:p>
        </w:tc>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Outlier screening</w:t>
            </w:r>
          </w:p>
        </w:tc>
        <w:tc>
          <w:tcPr>
            <w:tcW w:type="dxa" w:w="57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Finds extreme values and decides what each one is.</w:t>
            </w:r>
          </w:p>
        </w:tc>
      </w:tr>
      <w:tr>
        <w:tc>
          <w:tcPr>
            <w:tcW w:type="dxa" w:w="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DP11</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Missing-data rules</w:t>
            </w:r>
          </w:p>
        </w:tc>
        <w:tc>
          <w:tcPr>
            <w:tcW w:type="dxa" w:w="57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Fixes what happens when something is absent.</w:t>
            </w:r>
          </w:p>
        </w:tc>
      </w:tr>
      <w:tr>
        <w:tc>
          <w:tcPr>
            <w:tcW w:type="dxa" w:w="7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DP12</w:t>
            </w:r>
          </w:p>
        </w:tc>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Freeze and version the analysis table</w:t>
            </w:r>
          </w:p>
        </w:tc>
        <w:tc>
          <w:tcPr>
            <w:tcW w:type="dxa" w:w="57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Marks the end of preparation and the start of analysis.</w:t>
            </w:r>
          </w:p>
        </w:tc>
      </w:tr>
    </w:tbl>
    <w:p>
      <w:pPr>
        <w:spacing w:after="140"/>
      </w:pPr>
    </w:p>
    <w:p>
      <w:pPr>
        <w:pStyle w:val="Heading2"/>
        <w:spacing w:after="130" w:before="280"/>
      </w:pPr>
      <w:r>
        <w:rPr>
          <w:rFonts w:ascii="Calibri" w:cs="Calibri" w:eastAsia="Calibri" w:hAnsi="Calibri"/>
          <w:b/>
          <w:bCs/>
          <w:color w:val="2E5496"/>
          <w:sz w:val="25"/>
          <w:szCs w:val="25"/>
        </w:rPr>
        <w:t xml:space="preserve">5.2  DP1 — Cloud, shadow, snow and water masking</w:t>
      </w:r>
    </w:p>
    <w:p>
      <w:pPr>
        <w:pStyle w:val="ListParagraph"/>
        <w:numPr>
          <w:ilvl w:val="0"/>
          <w:numId w:val="4"/>
        </w:numPr>
        <w:spacing w:after="80" w:line="276"/>
        <w:jc w:val="both"/>
      </w:pPr>
      <w:r>
        <w:rPr>
          <w:rFonts w:ascii="Calibri" w:cs="Calibri" w:eastAsia="Calibri" w:hAnsi="Calibri"/>
          <w:sz w:val="21"/>
          <w:szCs w:val="21"/>
        </w:rPr>
        <w:t xml:space="preserve">Link each Sentinel-2 scene to its Cloud Score+ record and keep only pixels whose clearness score is at least 0.60. This threshold comes from the product’s own reference implementation; 0.50 and 0.70 are run later as sensitivity check SC9.</w:t>
      </w:r>
    </w:p>
    <w:p>
      <w:pPr>
        <w:pStyle w:val="ListParagraph"/>
        <w:numPr>
          <w:ilvl w:val="0"/>
          <w:numId w:val="4"/>
        </w:numPr>
        <w:spacing w:after="80" w:line="276"/>
        <w:jc w:val="both"/>
      </w:pPr>
      <w:r>
        <w:rPr>
          <w:rFonts w:ascii="Calibri" w:cs="Calibri" w:eastAsia="Calibri" w:hAnsi="Calibri"/>
          <w:sz w:val="21"/>
          <w:szCs w:val="21"/>
        </w:rPr>
        <w:t xml:space="preserve">Mask permanent water using the surface-water occurrence layer at a 50% threshold. Water in a vegetation index is not low vegetation; it is not vegetation at all, and leaving it in depresses every metric at lakeside sites.</w:t>
      </w:r>
    </w:p>
    <w:p>
      <w:pPr>
        <w:pStyle w:val="ListParagraph"/>
        <w:numPr>
          <w:ilvl w:val="0"/>
          <w:numId w:val="4"/>
        </w:numPr>
        <w:spacing w:after="80" w:line="276"/>
        <w:jc w:val="both"/>
      </w:pPr>
      <w:r>
        <w:rPr>
          <w:rFonts w:ascii="Calibri" w:cs="Calibri" w:eastAsia="Calibri" w:hAnsi="Calibri"/>
          <w:sz w:val="21"/>
          <w:szCs w:val="21"/>
        </w:rPr>
        <w:t xml:space="preserve">Exclude snow and ice by the same clearness score, with a visual check at high-latitude and high-elevation sites in winter months.</w:t>
      </w:r>
    </w:p>
    <w:p>
      <w:pPr>
        <w:pStyle w:val="ListParagraph"/>
        <w:numPr>
          <w:ilvl w:val="0"/>
          <w:numId w:val="4"/>
        </w:numPr>
        <w:spacing w:after="80" w:line="276"/>
        <w:jc w:val="both"/>
      </w:pPr>
      <w:r>
        <w:rPr>
          <w:rFonts w:ascii="Calibri" w:cs="Calibri" w:eastAsia="Calibri" w:hAnsi="Calibri"/>
          <w:sz w:val="21"/>
          <w:szCs w:val="21"/>
        </w:rPr>
        <w:t xml:space="preserve">Do NOT use the legacy quality bands shipped with the imagery. They miss thin cloud and — more damagingly — cloud shadow, which depresses vegetation indices without being visually obvious. They also changed availability partway through the study window, which would introduce a second, independent discontinuity on top of the radiometric one.</w:t>
      </w:r>
    </w:p>
    <w:p>
      <w:pPr>
        <w:spacing w:after="60"/>
      </w:pPr>
    </w:p>
    <w:p>
      <w:pPr>
        <w:spacing w:after="120" w:line="276"/>
        <w:jc w:val="both"/>
      </w:pPr>
      <w:r>
        <w:rPr>
          <w:rFonts w:ascii="Calibri" w:cs="Calibri" w:eastAsia="Calibri" w:hAnsi="Calibri"/>
          <w:b/>
          <w:bCs/>
          <w:i w:val="false"/>
          <w:iCs w:val="false"/>
          <w:color w:val="000000"/>
          <w:sz w:val="21"/>
          <w:szCs w:val="21"/>
        </w:rPr>
        <w:t xml:space="preserve">One thing masking does NOT solve, and you should state it in the thesis.</w:t>
      </w:r>
    </w:p>
    <w:p>
      <w:pPr>
        <w:spacing w:after="120" w:line="276"/>
        <w:jc w:val="both"/>
      </w:pPr>
      <w:r>
        <w:rPr>
          <w:rFonts w:ascii="Calibri" w:cs="Calibri" w:eastAsia="Calibri" w:hAnsi="Calibri"/>
          <w:b w:val="false"/>
          <w:bCs w:val="false"/>
          <w:i w:val="false"/>
          <w:iCs w:val="false"/>
          <w:color w:val="000000"/>
          <w:sz w:val="21"/>
          <w:szCs w:val="21"/>
        </w:rPr>
        <w:t xml:space="preserve">Masking removes cloudy observations. It does not remove the fact that cloudy days went unobserved. In persistently cloudy regions the surviving observations are the subset of days that happened to be clear — and clear days in a humid tropical climate are systematically drier and sunnier than average. A composite built from them describes a conditional state, not the annual state. The pilot measured how uneven this is: a median of 70 clear observations per site-year in temperate zones against 32 in the tropics, with a minimum of 7. Carry n_clear as a covariate and report it by climate group.</w:t>
      </w:r>
    </w:p>
    <w:p>
      <w:pPr>
        <w:pStyle w:val="Heading2"/>
        <w:spacing w:after="130" w:before="280"/>
      </w:pPr>
      <w:r>
        <w:rPr>
          <w:rFonts w:ascii="Calibri" w:cs="Calibri" w:eastAsia="Calibri" w:hAnsi="Calibri"/>
          <w:b/>
          <w:bCs/>
          <w:color w:val="2E5496"/>
          <w:sz w:val="25"/>
          <w:szCs w:val="25"/>
        </w:rPr>
        <w:t xml:space="preserve">5.3  DP2 — Topographic illumination correction</w:t>
      </w:r>
    </w:p>
    <w:p>
      <w:pPr>
        <w:spacing w:after="120" w:line="276"/>
        <w:jc w:val="both"/>
      </w:pPr>
      <w:r>
        <w:rPr>
          <w:rFonts w:ascii="Calibri" w:cs="Calibri" w:eastAsia="Calibri" w:hAnsi="Calibri"/>
          <w:b w:val="false"/>
          <w:bCs w:val="false"/>
          <w:i w:val="false"/>
          <w:iCs w:val="false"/>
          <w:color w:val="000000"/>
          <w:sz w:val="21"/>
          <w:szCs w:val="21"/>
        </w:rPr>
        <w:t xml:space="preserve">On sloping ground the light reaching the surface depends on the angle between the slope and the sun. A north-facing slope in the northern hemisphere receives less direct light than a south-facing one at the same latitude on the same day, and every index built from reflectance differs accordingly.</w:t>
      </w:r>
    </w:p>
    <w:p>
      <w:pPr>
        <w:spacing w:after="120" w:line="276"/>
        <w:jc w:val="both"/>
      </w:pPr>
      <w:r>
        <w:rPr>
          <w:rFonts w:ascii="Calibri" w:cs="Calibri" w:eastAsia="Calibri" w:hAnsi="Calibri"/>
          <w:b/>
          <w:bCs/>
          <w:i w:val="false"/>
          <w:iCs w:val="false"/>
          <w:color w:val="000000"/>
          <w:sz w:val="21"/>
          <w:szCs w:val="21"/>
        </w:rPr>
        <w:t xml:space="preserve">This matters here specifically. </w:t>
      </w:r>
      <w:r>
        <w:rPr>
          <w:rFonts w:ascii="Calibri" w:cs="Calibri" w:eastAsia="Calibri" w:hAnsi="Calibri"/>
          <w:b w:val="false"/>
          <w:bCs w:val="false"/>
          <w:i w:val="false"/>
          <w:iCs w:val="false"/>
          <w:color w:val="000000"/>
          <w:sz w:val="21"/>
          <w:szCs w:val="21"/>
        </w:rPr>
        <w:t xml:space="preserve">Intentional communities are disproportionately founded on marginal land, and marginal land is disproportionately sloping. A settlement–control difference driven by slope aspect would be an artefact aligned with the study’s central comparison.</w:t>
      </w:r>
    </w:p>
    <w:p>
      <w:pPr>
        <w:pStyle w:val="ListParagraph"/>
        <w:numPr>
          <w:ilvl w:val="0"/>
          <w:numId w:val="5"/>
        </w:numPr>
        <w:spacing w:after="80" w:line="276"/>
        <w:jc w:val="both"/>
      </w:pPr>
      <w:r>
        <w:rPr>
          <w:rFonts w:ascii="Calibri" w:cs="Calibri" w:eastAsia="Calibri" w:hAnsi="Calibri"/>
          <w:sz w:val="21"/>
          <w:szCs w:val="21"/>
        </w:rPr>
        <w:t xml:space="preserve">Compute the illumination condition from the elevation model and the per-scene solar geometry.</w:t>
      </w:r>
    </w:p>
    <w:p>
      <w:pPr>
        <w:pStyle w:val="ListParagraph"/>
        <w:numPr>
          <w:ilvl w:val="0"/>
          <w:numId w:val="5"/>
        </w:numPr>
        <w:spacing w:after="80" w:line="276"/>
        <w:jc w:val="both"/>
      </w:pPr>
      <w:r>
        <w:rPr>
          <w:rFonts w:ascii="Calibri" w:cs="Calibri" w:eastAsia="Calibri" w:hAnsi="Calibri"/>
          <w:sz w:val="21"/>
          <w:szCs w:val="21"/>
        </w:rPr>
        <w:t xml:space="preserve">Apply a sun–canopy–sensor correction with an empirical moderating term. Purely cosine-based corrections over-correct weakly lit slopes and produce implausibly bright shadowed terrain.</w:t>
      </w:r>
    </w:p>
    <w:p>
      <w:pPr>
        <w:pStyle w:val="ListParagraph"/>
        <w:numPr>
          <w:ilvl w:val="0"/>
          <w:numId w:val="5"/>
        </w:numPr>
        <w:spacing w:after="80" w:line="276"/>
        <w:jc w:val="both"/>
      </w:pPr>
      <w:r>
        <w:rPr>
          <w:rFonts w:ascii="Calibri" w:cs="Calibri" w:eastAsia="Calibri" w:hAnsi="Calibri"/>
          <w:sz w:val="21"/>
          <w:szCs w:val="21"/>
        </w:rPr>
        <w:t xml:space="preserve">VERIFY IT WORKED: after correction, compute the correlation between each index and the illumination condition across pixels within a stratum. It should be near zero. If a material correlation remains, the correction has not worked and must be revised before you proceed. Run this per stratum, not globally — correction performance varies with terrain and latitude.</w:t>
      </w:r>
    </w:p>
    <w:p>
      <w:pPr>
        <w:pStyle w:val="Heading2"/>
        <w:spacing w:after="130" w:before="280"/>
      </w:pPr>
      <w:r>
        <w:rPr>
          <w:rFonts w:ascii="Calibri" w:cs="Calibri" w:eastAsia="Calibri" w:hAnsi="Calibri"/>
          <w:b/>
          <w:bCs/>
          <w:color w:val="2E5496"/>
          <w:sz w:val="25"/>
          <w:szCs w:val="25"/>
        </w:rPr>
        <w:t xml:space="preserve">5.4  DP3 — Built-up masking, and the two forms of every measurement</w:t>
      </w:r>
    </w:p>
    <w:p>
      <w:pPr>
        <w:spacing w:after="120" w:line="276"/>
        <w:jc w:val="both"/>
      </w:pPr>
      <w:r>
        <w:rPr>
          <w:rFonts w:ascii="Calibri" w:cs="Calibri" w:eastAsia="Calibri" w:hAnsi="Calibri"/>
          <w:b w:val="false"/>
          <w:bCs w:val="false"/>
          <w:i w:val="false"/>
          <w:iCs w:val="false"/>
          <w:color w:val="000000"/>
          <w:sz w:val="21"/>
          <w:szCs w:val="21"/>
        </w:rPr>
        <w:t xml:space="preserve">The pilot measured that a conventional village zone at 150 m is on average 44% built surface, with a standard deviation of 18 percentage points across sites. An index computed over that zone without separating the two answers neither of two distinct questions cleanly: is there MORE vegetation, and is the vegetation that exists BETTER?</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200"/>
        <w:gridCol w:w="2600"/>
        <w:gridCol w:w="4220"/>
      </w:tblGrid>
      <w:tr>
        <w:trPr>
          <w:tblHeader/>
        </w:trPr>
        <w:tc>
          <w:tcPr>
            <w:tcW w:type="dxa" w:w="22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Form</w:t>
            </w:r>
          </w:p>
        </w:tc>
        <w:tc>
          <w:tcPr>
            <w:tcW w:type="dxa" w:w="26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What it measures</w:t>
            </w:r>
          </w:p>
        </w:tc>
        <w:tc>
          <w:tcPr>
            <w:tcW w:type="dxa" w:w="42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How it is computed</w:t>
            </w:r>
          </w:p>
        </w:tc>
      </w:tr>
      <w:tr>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CONDITION form</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How good the vegetation that exists is</w:t>
            </w:r>
          </w:p>
        </w:tc>
        <w:tc>
          <w:tcPr>
            <w:tcW w:type="dxa" w:w="42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fourteen condition metrics computed over VEGETATED pixels only, with built-up pixels masked. This is VCI.</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COMPOSITION form</w:t>
            </w:r>
          </w:p>
        </w:tc>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How much of the zone is vegetated, and in what classes</w:t>
            </w:r>
          </w:p>
        </w:tc>
        <w:tc>
          <w:tcPr>
            <w:tcW w:type="dxa" w:w="42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Land-cover fractions over the FULL zone, unmasked. This is LCC. Reported as a result in its own right, never rescaled into VCI.</w:t>
            </w:r>
          </w:p>
        </w:tc>
      </w:tr>
      <w:tr>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Both together</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full picture</w:t>
            </w:r>
          </w:p>
        </w:tc>
        <w:tc>
          <w:tcPr>
            <w:tcW w:type="dxa" w:w="42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Reported side by side. "More vegetation AND better vegetation" is a stronger finding than either alone; "more but not better" and "better but not more" are informative outcomes, not failures.</w:t>
            </w:r>
          </w:p>
        </w:tc>
      </w:tr>
    </w:tbl>
    <w:p>
      <w:pPr>
        <w:spacing w:after="120"/>
      </w:pPr>
    </w:p>
    <w:p>
      <w:pPr>
        <w:pStyle w:val="Heading3"/>
        <w:spacing w:after="110" w:before="220"/>
      </w:pPr>
      <w:r>
        <w:rPr>
          <w:rFonts w:ascii="Calibri" w:cs="Calibri" w:eastAsia="Calibri" w:hAnsi="Calibri"/>
          <w:b/>
          <w:bCs/>
          <w:color w:val="2E5496"/>
          <w:sz w:val="22"/>
          <w:szCs w:val="22"/>
        </w:rPr>
        <w:t xml:space="preserve">Four rules for the mask</w:t>
      </w:r>
    </w:p>
    <w:p>
      <w:pPr>
        <w:pStyle w:val="ListParagraph"/>
        <w:numPr>
          <w:ilvl w:val="0"/>
          <w:numId w:val="6"/>
        </w:numPr>
        <w:spacing w:after="80" w:line="276"/>
        <w:jc w:val="both"/>
      </w:pPr>
      <w:r>
        <w:rPr>
          <w:rFonts w:ascii="Calibri" w:cs="Calibri" w:eastAsia="Calibri" w:hAnsi="Calibri"/>
          <w:sz w:val="21"/>
          <w:szCs w:val="21"/>
        </w:rPr>
        <w:t xml:space="preserve">Take built-up probability from the land-cover PROBABILITY composite, not from a hard label, so the threshold is explicit and adjustable. Mask pixels whose annual mean built probability exceeds 0.50; sensitivity check SC10 varies this.</w:t>
      </w:r>
    </w:p>
    <w:p>
      <w:pPr>
        <w:pStyle w:val="ListParagraph"/>
        <w:numPr>
          <w:ilvl w:val="0"/>
          <w:numId w:val="6"/>
        </w:numPr>
        <w:spacing w:after="80" w:line="276"/>
        <w:jc w:val="both"/>
      </w:pPr>
      <w:r>
        <w:rPr>
          <w:rFonts w:ascii="Calibri" w:cs="Calibri" w:eastAsia="Calibri" w:hAnsi="Calibri"/>
          <w:sz w:val="21"/>
          <w:szCs w:val="21"/>
        </w:rPr>
        <w:t xml:space="preserve">APPLY THE MASK BEFORE computing any bare-ground, bare-soil or disturbance quantity. A sealed roof, a road and a yard are spectrally close to bare soil, so an unmasked bare-ground fraction counts infrastructure as exposed earth — at exactly the sites with the most infrastructure, which inverts the meaning of metric VM6 and of flag component FC3.</w:t>
      </w:r>
    </w:p>
    <w:p>
      <w:pPr>
        <w:pStyle w:val="ListParagraph"/>
        <w:numPr>
          <w:ilvl w:val="0"/>
          <w:numId w:val="6"/>
        </w:numPr>
        <w:spacing w:after="80" w:line="276"/>
        <w:jc w:val="both"/>
      </w:pPr>
      <w:r>
        <w:rPr>
          <w:rFonts w:ascii="Calibri" w:cs="Calibri" w:eastAsia="Calibri" w:hAnsi="Calibri"/>
          <w:sz w:val="21"/>
          <w:szCs w:val="21"/>
        </w:rPr>
        <w:t xml:space="preserve">Apply the mask IDENTICALLY at reference sites. A reference level computed on unmasked land sits on a different scale from a masked study value, and every rescaled score would be biased.</w:t>
      </w:r>
    </w:p>
    <w:p>
      <w:pPr>
        <w:pStyle w:val="ListParagraph"/>
        <w:numPr>
          <w:ilvl w:val="0"/>
          <w:numId w:val="6"/>
        </w:numPr>
        <w:spacing w:after="80" w:line="276"/>
        <w:jc w:val="both"/>
      </w:pPr>
      <w:r>
        <w:rPr>
          <w:rFonts w:ascii="Calibri" w:cs="Calibri" w:eastAsia="Calibri" w:hAnsi="Calibri"/>
          <w:sz w:val="21"/>
          <w:szCs w:val="21"/>
        </w:rPr>
        <w:t xml:space="preserve">Record the masked fraction per site per zone per year and report it. It IS the composition result, so it is never discarded as a processing detail.</w:t>
      </w:r>
    </w:p>
    <w:p>
      <w:pPr>
        <w:spacing w:after="60"/>
      </w:pPr>
    </w:p>
    <w:p>
      <w:pPr>
        <w:spacing w:after="120" w:line="276"/>
        <w:jc w:val="both"/>
      </w:pPr>
      <w:r>
        <w:rPr>
          <w:rFonts w:ascii="Calibri" w:cs="Calibri" w:eastAsia="Calibri" w:hAnsi="Calibri"/>
          <w:b w:val="false"/>
          <w:bCs w:val="false"/>
          <w:i w:val="false"/>
          <w:iCs w:val="false"/>
          <w:color w:val="000000"/>
          <w:sz w:val="21"/>
          <w:szCs w:val="21"/>
        </w:rPr>
        <w:t xml:space="preserve">PCI is the exception: the three provisioning metrics are computed over the FULL zone, unmasked, because managed productive area fraction is definitionally about the whole zone. Computing it on the masked area would make it a ratio of vegetated land to vegetated land.</w:t>
      </w:r>
    </w:p>
    <w:p>
      <w:pPr>
        <w:spacing w:after="120" w:line="276"/>
        <w:jc w:val="both"/>
      </w:pPr>
      <w:r>
        <w:rPr>
          <w:rFonts w:ascii="Calibri" w:cs="Calibri" w:eastAsia="Calibri" w:hAnsi="Calibri"/>
          <w:b/>
          <w:bCs/>
          <w:i w:val="false"/>
          <w:iCs w:val="false"/>
          <w:color w:val="000000"/>
          <w:sz w:val="21"/>
          <w:szCs w:val="21"/>
        </w:rPr>
        <w:t xml:space="preserve">One consequence to state in the thesis rather than conceal. </w:t>
      </w:r>
      <w:r>
        <w:rPr>
          <w:rFonts w:ascii="Calibri" w:cs="Calibri" w:eastAsia="Calibri" w:hAnsi="Calibri"/>
          <w:b w:val="false"/>
          <w:bCs w:val="false"/>
          <w:i w:val="false"/>
          <w:iCs w:val="false"/>
          <w:color w:val="000000"/>
          <w:sz w:val="21"/>
          <w:szCs w:val="21"/>
        </w:rPr>
        <w:t xml:space="preserve">VCI is measured over vegetated pixels and PCI over the full zone, so the two outcomes sit on slightly different spatial supports. This is deliberate — each is measured where it is meaningful — and the masked fraction is reported per site so a reader can see where it matters most.</w:t>
      </w:r>
    </w:p>
    <w:p>
      <w:pPr>
        <w:pStyle w:val="Heading2"/>
        <w:spacing w:after="130" w:before="280"/>
      </w:pPr>
      <w:r>
        <w:rPr>
          <w:rFonts w:ascii="Calibri" w:cs="Calibri" w:eastAsia="Calibri" w:hAnsi="Calibri"/>
          <w:b/>
          <w:bCs/>
          <w:color w:val="2E5496"/>
          <w:sz w:val="25"/>
          <w:szCs w:val="25"/>
        </w:rPr>
        <w:t xml:space="preserve">5.5  DP4 and DP5 — Monthly compositing and vegetation-year alignment</w:t>
      </w:r>
    </w:p>
    <w:p>
      <w:pPr>
        <w:pStyle w:val="Heading3"/>
        <w:spacing w:after="110" w:before="220"/>
      </w:pPr>
      <w:r>
        <w:rPr>
          <w:rFonts w:ascii="Calibri" w:cs="Calibri" w:eastAsia="Calibri" w:hAnsi="Calibri"/>
          <w:b/>
          <w:bCs/>
          <w:color w:val="2E5496"/>
          <w:sz w:val="22"/>
          <w:szCs w:val="22"/>
        </w:rPr>
        <w:t xml:space="preserve">Monthly composites</w:t>
      </w:r>
    </w:p>
    <w:p>
      <w:pPr>
        <w:pStyle w:val="ListParagraph"/>
        <w:numPr>
          <w:ilvl w:val="0"/>
          <w:numId w:val="7"/>
        </w:numPr>
        <w:spacing w:after="80" w:line="276"/>
        <w:jc w:val="both"/>
      </w:pPr>
      <w:r>
        <w:rPr>
          <w:rFonts w:ascii="Calibri" w:cs="Calibri" w:eastAsia="Calibri" w:hAnsi="Calibri"/>
          <w:sz w:val="21"/>
          <w:szCs w:val="21"/>
        </w:rPr>
        <w:t xml:space="preserve">For each site, each zone and each month of the vegetation year, take the MEDIAN of all clear observations in that month.</w:t>
      </w:r>
    </w:p>
    <w:p>
      <w:pPr>
        <w:pStyle w:val="ListParagraph"/>
        <w:numPr>
          <w:ilvl w:val="0"/>
          <w:numId w:val="7"/>
        </w:numPr>
        <w:spacing w:after="80" w:line="276"/>
        <w:jc w:val="both"/>
      </w:pPr>
      <w:r>
        <w:rPr>
          <w:rFonts w:ascii="Calibri" w:cs="Calibri" w:eastAsia="Calibri" w:hAnsi="Calibri"/>
          <w:sz w:val="21"/>
          <w:szCs w:val="21"/>
        </w:rPr>
        <w:t xml:space="preserve">Use the median rather than the mean throughout. Residual undetected cloud and shadow produce one-sided outliers that a mean absorbs and a median resists.</w:t>
      </w:r>
    </w:p>
    <w:p>
      <w:pPr>
        <w:pStyle w:val="ListParagraph"/>
        <w:numPr>
          <w:ilvl w:val="0"/>
          <w:numId w:val="7"/>
        </w:numPr>
        <w:spacing w:after="80" w:line="276"/>
        <w:jc w:val="both"/>
      </w:pPr>
      <w:r>
        <w:rPr>
          <w:rFonts w:ascii="Calibri" w:cs="Calibri" w:eastAsia="Calibri" w:hAnsi="Calibri"/>
          <w:sz w:val="21"/>
          <w:szCs w:val="21"/>
        </w:rPr>
        <w:t xml:space="preserve">Where a month has no clear observations, leave it EMPTY. Do not fill it with a placeholder value, do not interpolate from neighbouring months, and do not carry the previous month forward. Record how many months have data as n_months.</w:t>
      </w:r>
    </w:p>
    <w:p>
      <w:pPr>
        <w:pStyle w:val="ListParagraph"/>
        <w:numPr>
          <w:ilvl w:val="0"/>
          <w:numId w:val="7"/>
        </w:numPr>
        <w:spacing w:after="80" w:line="276"/>
        <w:jc w:val="both"/>
      </w:pPr>
      <w:r>
        <w:rPr>
          <w:rFonts w:ascii="Calibri" w:cs="Calibri" w:eastAsia="Calibri" w:hAnsi="Calibri"/>
          <w:sz w:val="21"/>
          <w:szCs w:val="21"/>
        </w:rPr>
        <w:t xml:space="preserve">Compute indices from the composited reflectance bands, not by compositing per-scene index values.</w:t>
      </w:r>
    </w:p>
    <w:p>
      <w:pPr>
        <w:pStyle w:val="Heading3"/>
        <w:spacing w:after="110" w:before="220"/>
      </w:pPr>
      <w:r>
        <w:rPr>
          <w:rFonts w:ascii="Calibri" w:cs="Calibri" w:eastAsia="Calibri" w:hAnsi="Calibri"/>
          <w:b/>
          <w:bCs/>
          <w:color w:val="2E5496"/>
          <w:sz w:val="22"/>
          <w:szCs w:val="22"/>
        </w:rPr>
        <w:t xml:space="preserve">Vegetation years</w:t>
      </w:r>
    </w:p>
    <w:p>
      <w:pPr>
        <w:spacing w:after="120" w:line="276"/>
        <w:jc w:val="both"/>
      </w:pPr>
      <w:r>
        <w:rPr>
          <w:rFonts w:ascii="Calibri" w:cs="Calibri" w:eastAsia="Calibri" w:hAnsi="Calibri"/>
          <w:b w:val="false"/>
          <w:bCs w:val="false"/>
          <w:i w:val="false"/>
          <w:iCs w:val="false"/>
          <w:color w:val="000000"/>
          <w:sz w:val="21"/>
          <w:szCs w:val="21"/>
        </w:rPr>
        <w:t xml:space="preserve">A calendar year works in the northern hemisphere and breaks in the southern, where the growing season straddles the year boundary. A calendar year at an Australian or Chilean site contains the tail of one season and the head of the next, with winter in the middle — which makes seasonal amplitude, dry-season minimum and green-up timing meaningless there.</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2600"/>
        <w:gridCol w:w="4020"/>
      </w:tblGrid>
      <w:tr>
        <w:trPr>
          <w:tblHeader/>
        </w:trPr>
        <w:tc>
          <w:tcPr>
            <w:tcW w:type="dxa" w:w="24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Where the site is</w:t>
            </w:r>
          </w:p>
        </w:tc>
        <w:tc>
          <w:tcPr>
            <w:tcW w:type="dxa" w:w="26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Vegetation year runs</w:t>
            </w:r>
          </w:p>
        </w:tc>
        <w:tc>
          <w:tcPr>
            <w:tcW w:type="dxa" w:w="40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Why</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Above 23.5° N</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 January – 31 December</w:t>
            </w:r>
          </w:p>
        </w:tc>
        <w:tc>
          <w:tcPr>
            <w:tcW w:type="dxa" w:w="40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growing season already sits inside the calendar year.</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Below 23.5° S</w:t>
            </w:r>
          </w:p>
        </w:tc>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 July – 30 June</w:t>
            </w:r>
          </w:p>
        </w:tc>
        <w:tc>
          <w:tcPr>
            <w:tcW w:type="dxa" w:w="40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Puts the austral growing season in the middle and winter at the edges, mirroring the northern case.</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Between the tropics</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Twelve months beginning at the site’s climatologically driest month</w:t>
            </w:r>
          </w:p>
        </w:tc>
        <w:tc>
          <w:tcPr>
            <w:tcW w:type="dxa" w:w="40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Tropical phenology follows rainfall, not temperature. Take the driest month from long-term CHIRPS climatology over at least twenty years, so it reflects climate rather than the particular years of the study.</w:t>
            </w:r>
          </w:p>
        </w:tc>
      </w:tr>
    </w:tbl>
    <w:p>
      <w:pPr>
        <w:spacing w:after="120"/>
      </w:pPr>
    </w:p>
    <w:p>
      <w:pPr>
        <w:pStyle w:val="ListParagraph"/>
        <w:numPr>
          <w:ilvl w:val="0"/>
          <w:numId w:val="8"/>
        </w:numPr>
        <w:spacing w:after="80" w:line="276"/>
        <w:jc w:val="both"/>
      </w:pPr>
      <w:r>
        <w:rPr>
          <w:rFonts w:ascii="Calibri" w:cs="Calibri" w:eastAsia="Calibri" w:hAnsi="Calibri"/>
          <w:sz w:val="21"/>
          <w:szCs w:val="21"/>
        </w:rPr>
        <w:t xml:space="preserve">Fix each site’s start month ONCE and never recompute it. A start month that shifts between years makes years incomparable within a site.</w:t>
      </w:r>
    </w:p>
    <w:p>
      <w:pPr>
        <w:pStyle w:val="ListParagraph"/>
        <w:numPr>
          <w:ilvl w:val="0"/>
          <w:numId w:val="8"/>
        </w:numPr>
        <w:spacing w:after="80" w:line="276"/>
        <w:jc w:val="both"/>
      </w:pPr>
      <w:r>
        <w:rPr>
          <w:rFonts w:ascii="Calibri" w:cs="Calibri" w:eastAsia="Calibri" w:hAnsi="Calibri"/>
          <w:sz w:val="21"/>
          <w:szCs w:val="21"/>
        </w:rPr>
        <w:t xml:space="preserve">Where a tropical site has two rainfall minima, use the deeper one and record the site as bimodal.</w:t>
      </w:r>
    </w:p>
    <w:p>
      <w:pPr>
        <w:pStyle w:val="ListParagraph"/>
        <w:numPr>
          <w:ilvl w:val="0"/>
          <w:numId w:val="8"/>
        </w:numPr>
        <w:spacing w:after="80" w:line="276"/>
        <w:jc w:val="both"/>
      </w:pPr>
      <w:r>
        <w:rPr>
          <w:rFonts w:ascii="Calibri" w:cs="Calibri" w:eastAsia="Calibri" w:hAnsi="Calibri"/>
          <w:sz w:val="21"/>
          <w:szCs w:val="21"/>
        </w:rPr>
        <w:t xml:space="preserve">Where a site is aseasonal — no month below a defined fraction of the annual mean — set the vegetation year to the calendar year and mark its seasonal metrics UNINFORMATIVE rather than computing and quietly using them.</w:t>
      </w:r>
    </w:p>
    <w:p>
      <w:pPr>
        <w:pStyle w:val="Heading2"/>
        <w:spacing w:after="130" w:before="280"/>
      </w:pPr>
      <w:r>
        <w:rPr>
          <w:rFonts w:ascii="Calibri" w:cs="Calibri" w:eastAsia="Calibri" w:hAnsi="Calibri"/>
          <w:b/>
          <w:bCs/>
          <w:color w:val="2E5496"/>
          <w:sz w:val="25"/>
          <w:szCs w:val="25"/>
        </w:rPr>
        <w:t xml:space="preserve">5.6  DP6 and DP7 — Annual metrics and quality screening</w:t>
      </w:r>
    </w:p>
    <w:p>
      <w:pPr>
        <w:pStyle w:val="Heading3"/>
        <w:spacing w:after="110" w:before="220"/>
      </w:pPr>
      <w:r>
        <w:rPr>
          <w:rFonts w:ascii="Calibri" w:cs="Calibri" w:eastAsia="Calibri" w:hAnsi="Calibri"/>
          <w:b/>
          <w:bCs/>
          <w:color w:val="2E5496"/>
          <w:sz w:val="22"/>
          <w:szCs w:val="22"/>
        </w:rPr>
        <w:t xml:space="preserve">Computing the annual metrics</w:t>
      </w:r>
    </w:p>
    <w:p>
      <w:pPr>
        <w:spacing w:after="120" w:line="276"/>
        <w:jc w:val="both"/>
      </w:pPr>
      <w:r>
        <w:rPr>
          <w:rFonts w:ascii="Calibri" w:cs="Calibri" w:eastAsia="Calibri" w:hAnsi="Calibri"/>
          <w:b w:val="false"/>
          <w:bCs w:val="false"/>
          <w:i w:val="false"/>
          <w:iCs w:val="false"/>
          <w:color w:val="000000"/>
          <w:sz w:val="21"/>
          <w:szCs w:val="21"/>
        </w:rPr>
        <w:t xml:space="preserve">Each of the twelve monthly composites feeds the annual metrics of §3.3. Take the metrics from the FITTED monthly series rather than from the raw observations where a choice exists: a within-year range statistic computed from raw observations rises mechanically with the number of observations sampled, so a well-observed site would appear more variable than a poorly observed one for no physical reason.</w:t>
      </w:r>
    </w:p>
    <w:p>
      <w:pPr>
        <w:pStyle w:val="Heading3"/>
        <w:spacing w:after="110" w:before="220"/>
      </w:pPr>
      <w:r>
        <w:rPr>
          <w:rFonts w:ascii="Calibri" w:cs="Calibri" w:eastAsia="Calibri" w:hAnsi="Calibri"/>
          <w:b/>
          <w:bCs/>
          <w:color w:val="2E5496"/>
          <w:sz w:val="22"/>
          <w:szCs w:val="22"/>
        </w:rPr>
        <w:t xml:space="preserve">The three quality gates</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200"/>
        <w:gridCol w:w="2200"/>
        <w:gridCol w:w="4620"/>
      </w:tblGrid>
      <w:tr>
        <w:trPr>
          <w:tblHeader/>
        </w:trPr>
        <w:tc>
          <w:tcPr>
            <w:tcW w:type="dxa" w:w="22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Gate</w:t>
            </w:r>
          </w:p>
        </w:tc>
        <w:tc>
          <w:tcPr>
            <w:tcW w:type="dxa" w:w="22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Threshold</w:t>
            </w:r>
          </w:p>
        </w:tc>
        <w:tc>
          <w:tcPr>
            <w:tcW w:type="dxa" w:w="46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What happens if it fails</w:t>
            </w:r>
          </w:p>
        </w:tc>
      </w:tr>
      <w:tr>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Clear observations per site-year</w:t>
            </w:r>
          </w:p>
        </w:tc>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At least 12, spread across at least 6 different months</w:t>
            </w:r>
          </w:p>
        </w:tc>
        <w:tc>
          <w:tcPr>
            <w:tcW w:type="dxa" w:w="4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site-year is marked MISSING. The site keeps its other years. A site failing in four or more of seven years is excluded from the primary analysis and reported.</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Valid pixels per zone per year</w:t>
            </w:r>
          </w:p>
        </w:tc>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At least 30 pixels after all masking</w:t>
            </w:r>
          </w:p>
        </w:tc>
        <w:tc>
          <w:tcPr>
            <w:tcW w:type="dxa" w:w="4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That zone-year is marked MISSING. THIS MATTERS MOST FOR RING 1, which spans 0–50 m over the built core and may have almost no vegetated pixels once masked. A 100 m small-class zone holds 314 pixels before masking and roughly 176 after, so it clears the floor comfortably — the gate binds on rings, not on the smallest class zone.</w:t>
            </w:r>
          </w:p>
        </w:tc>
      </w:tr>
      <w:tr>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Disturbance</w:t>
            </w:r>
          </w:p>
        </w:tc>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No burned area recorded within the analysis extent during the study window</w:t>
            </w:r>
          </w:p>
        </w:tc>
        <w:tc>
          <w:tcPr>
            <w:tcW w:type="dxa" w:w="4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site is FLAGGED, not automatically dropped. Sensitivity check SC8 excludes flagged sites. A disturbed site does not represent its own management, but the decision to exclude belongs to the analysis, not the preparation.</w:t>
            </w:r>
          </w:p>
        </w:tc>
      </w:tr>
    </w:tbl>
    <w:p>
      <w:pPr>
        <w:spacing w:after="120"/>
      </w:pPr>
    </w:p>
    <w:p>
      <w:pPr>
        <w:spacing w:after="120" w:line="276"/>
        <w:jc w:val="both"/>
      </w:pPr>
      <w:r>
        <w:rPr>
          <w:rFonts w:ascii="Calibri" w:cs="Calibri" w:eastAsia="Calibri" w:hAnsi="Calibri"/>
          <w:b/>
          <w:bCs/>
          <w:i w:val="false"/>
          <w:iCs w:val="false"/>
          <w:color w:val="000000"/>
          <w:sz w:val="21"/>
          <w:szCs w:val="21"/>
        </w:rPr>
        <w:t xml:space="preserve">Note what the second gate protects against. </w:t>
      </w:r>
      <w:r>
        <w:rPr>
          <w:rFonts w:ascii="Calibri" w:cs="Calibri" w:eastAsia="Calibri" w:hAnsi="Calibri"/>
          <w:b w:val="false"/>
          <w:bCs w:val="false"/>
          <w:i w:val="false"/>
          <w:iCs w:val="false"/>
          <w:color w:val="000000"/>
          <w:sz w:val="21"/>
          <w:szCs w:val="21"/>
        </w:rPr>
        <w:t xml:space="preserve">Without it, a ring containing four vegetated pixels would produce a number that looks exactly like a number from a ring containing four hundred. Version 1.0 of this plan had no such rule, and the radial gradient would have been noisiest exactly where the effect is expected to be largest.</w:t>
      </w:r>
    </w:p>
    <w:p>
      <w:pPr>
        <w:spacing w:after="120"/>
      </w:pPr>
    </w:p>
    <w:p>
      <w:pPr>
        <w:spacing w:after="120" w:line="276"/>
        <w:jc w:val="both"/>
      </w:pPr>
      <w:r>
        <w:rPr>
          <w:rFonts w:ascii="Calibri" w:cs="Calibri" w:eastAsia="Calibri" w:hAnsi="Calibri"/>
          <w:b/>
          <w:bCs/>
          <w:i w:val="false"/>
          <w:iCs w:val="false"/>
          <w:color w:val="000000"/>
          <w:sz w:val="21"/>
          <w:szCs w:val="21"/>
        </w:rPr>
        <w:t xml:space="preserve">An extra gate for the longitudinal cohort. </w:t>
      </w:r>
      <w:r>
        <w:rPr>
          <w:rFonts w:ascii="Calibri" w:cs="Calibri" w:eastAsia="Calibri" w:hAnsi="Calibri"/>
          <w:b w:val="false"/>
          <w:bCs w:val="false"/>
          <w:i w:val="false"/>
          <w:iCs w:val="false"/>
          <w:color w:val="000000"/>
          <w:sz w:val="21"/>
          <w:szCs w:val="21"/>
        </w:rPr>
        <w:t xml:space="preserve">A cohort site is admitted to analysis A8 only if it passes the observation gate in AT LEAST TWO of its three pre-onset years AND at least two of its three post-onset years. A site with one usable pre-year cannot support a before-and-after comparison, and including it would let a single noisy year masquerade as a baseline.</w:t>
      </w:r>
    </w:p>
    <w:p>
      <w:pPr>
        <w:spacing w:after="120" w:line="276"/>
        <w:jc w:val="both"/>
      </w:pPr>
      <w:r>
        <w:rPr>
          <w:rFonts w:ascii="Calibri" w:cs="Calibri" w:eastAsia="Calibri" w:hAnsi="Calibri"/>
          <w:b w:val="false"/>
          <w:bCs w:val="false"/>
          <w:i w:val="false"/>
          <w:iCs w:val="false"/>
          <w:color w:val="000000"/>
          <w:sz w:val="21"/>
          <w:szCs w:val="21"/>
        </w:rPr>
        <w:t xml:space="preserve">Report how many cohort sites this excludes, and check whether the exclusions cluster by climate group. If the tropics lose disproportionately many — which is likely, given a median of 32 clear observations per site-year there against 70 in temperate zones — then the cohort result applies mainly to temperate and continental communities, and the thesis says so.</w:t>
      </w:r>
    </w:p>
    <w:p>
      <w:pPr>
        <w:pStyle w:val="Heading2"/>
        <w:spacing w:after="130" w:before="280"/>
      </w:pPr>
      <w:r>
        <w:rPr>
          <w:rFonts w:ascii="Calibri" w:cs="Calibri" w:eastAsia="Calibri" w:hAnsi="Calibri"/>
          <w:b/>
          <w:bCs/>
          <w:color w:val="2E5496"/>
          <w:sz w:val="25"/>
          <w:szCs w:val="25"/>
        </w:rPr>
        <w:t xml:space="preserve">5.7  DP8 and DP9 — Panel assembly and integrity checks</w:t>
      </w:r>
    </w:p>
    <w:p>
      <w:pPr>
        <w:spacing w:after="120" w:line="276"/>
        <w:jc w:val="both"/>
      </w:pPr>
      <w:r>
        <w:rPr>
          <w:rFonts w:ascii="Calibri" w:cs="Calibri" w:eastAsia="Calibri" w:hAnsi="Calibri"/>
          <w:b w:val="false"/>
          <w:bCs w:val="false"/>
          <w:i w:val="false"/>
          <w:iCs w:val="false"/>
          <w:color w:val="000000"/>
          <w:sz w:val="21"/>
          <w:szCs w:val="21"/>
        </w:rPr>
        <w:t xml:space="preserve">The analysis table is a join across six separately produced things: the site register, the quartet register, the coded community attributes, the annual extraction table, the static table and the reference levels. Each is fine on its own. The JOIN is what needs checking.</w:t>
      </w:r>
    </w:p>
    <w:tbl>
      <w:tblPr>
        <w:tblW w:type="dxa" w:w="9020"/>
        <w:tblBorders>
          <w:top w:val="none" w:color="FFFFFF" w:sz="0"/>
          <w:left w:val="single" w:color="C0504D" w:sz="18"/>
          <w:bottom w:val="none" w:color="FFFFFF" w:sz="0"/>
          <w:right w:val="none" w:color="FFFFFF" w:sz="0"/>
          <w:insideH w:val="none" w:color="FFFFFF" w:sz="0"/>
          <w:insideV w:val="none" w:color="FFFFFF" w:sz="0"/>
        </w:tblBorders>
      </w:tblPr>
      <w:tblGrid>
        <w:gridCol w:w="9020"/>
      </w:tblGrid>
      <w:tr>
        <w:tc>
          <w:tcPr>
            <w:tcW w:type="dxa" w:w="9020"/>
            <w:shd w:fill="FDECEC" w:color="auto" w:val="clear"/>
            <w:tcMar>
              <w:top w:type="dxa" w:w="150"/>
              <w:left w:type="dxa" w:w="180"/>
              <w:bottom w:type="dxa" w:w="150"/>
              <w:right w:type="dxa" w:w="180"/>
            </w:tcMar>
          </w:tcPr>
          <w:p>
            <w:pPr>
              <w:spacing w:after="90"/>
            </w:pPr>
            <w:r>
              <w:rPr>
                <w:rFonts w:ascii="Calibri" w:cs="Calibri" w:eastAsia="Calibri" w:hAnsi="Calibri"/>
                <w:b/>
                <w:bCs/>
                <w:color w:val="C0504D"/>
                <w:sz w:val="21"/>
                <w:szCs w:val="21"/>
              </w:rPr>
              <w:t xml:space="preserve">Why a join error is more dangerous than a processing error</w:t>
            </w:r>
          </w:p>
          <w:p>
            <w:pPr>
              <w:spacing w:after="90" w:line="276"/>
              <w:jc w:val="both"/>
            </w:pPr>
            <w:r>
              <w:rPr>
                <w:rFonts w:ascii="Calibri" w:cs="Calibri" w:eastAsia="Calibri" w:hAnsi="Calibri"/>
                <w:sz w:val="20"/>
                <w:szCs w:val="20"/>
              </w:rPr>
              <w:t xml:space="preserve">The characteristic failure is a many-to-many join where a many-to-one was intended. It corrupts no value — every number stays correct — it simply repeats rows. The duplicated sites then carry more weight than they should, standard errors shrink because the apparent sample is larger than the real one, and every value-based check passes cleanly.</w:t>
            </w:r>
          </w:p>
          <w:p>
            <w:pPr>
              <w:spacing w:after="90" w:line="276"/>
              <w:jc w:val="both"/>
            </w:pPr>
            <w:r>
              <w:rPr>
                <w:rFonts w:ascii="Calibri" w:cs="Calibri" w:eastAsia="Calibri" w:hAnsi="Calibri"/>
                <w:sz w:val="20"/>
                <w:szCs w:val="20"/>
              </w:rPr>
              <w:t xml:space="preserve">The opposite failure is equally quiet: a key mismatch drops rows, and sites disappear without anything registering their absence. If the mismatch correlates with something — a naming convention used in one country, a missing attribute at one class of site — the loss is not random.</w:t>
            </w:r>
          </w:p>
          <w:p>
            <w:pPr>
              <w:spacing w:after="90" w:line="276"/>
              <w:jc w:val="both"/>
            </w:pPr>
            <w:r>
              <w:rPr>
                <w:rFonts w:ascii="Calibri" w:cs="Calibri" w:eastAsia="Calibri" w:hAnsi="Calibri"/>
                <w:sz w:val="20"/>
                <w:szCs w:val="20"/>
              </w:rPr>
              <w:t xml:space="preserve">Neither is detectable from the values. Both are trivially detectable from row counts.</w:t>
            </w:r>
          </w:p>
        </w:tc>
      </w:tr>
    </w:tbl>
    <w:p>
      <w:pPr>
        <w:spacing w:after="140"/>
      </w:pPr>
    </w:p>
    <w:p>
      <w:pPr>
        <w:pStyle w:val="Heading3"/>
        <w:spacing w:after="110" w:before="220"/>
      </w:pPr>
      <w:r>
        <w:rPr>
          <w:rFonts w:ascii="Calibri" w:cs="Calibri" w:eastAsia="Calibri" w:hAnsi="Calibri"/>
          <w:b/>
          <w:bCs/>
          <w:color w:val="2E5496"/>
          <w:sz w:val="22"/>
          <w:szCs w:val="22"/>
        </w:rPr>
        <w:t xml:space="preserve">Join order</w:t>
      </w:r>
    </w:p>
    <w:p>
      <w:pPr>
        <w:pStyle w:val="ListParagraph"/>
        <w:numPr>
          <w:ilvl w:val="0"/>
          <w:numId w:val="9"/>
        </w:numPr>
        <w:spacing w:after="80" w:line="276"/>
        <w:jc w:val="both"/>
      </w:pPr>
      <w:r>
        <w:rPr>
          <w:rFonts w:ascii="Calibri" w:cs="Calibri" w:eastAsia="Calibri" w:hAnsi="Calibri"/>
          <w:sz w:val="21"/>
          <w:szCs w:val="21"/>
        </w:rPr>
        <w:t xml:space="preserve">Annual extraction table ← static table, on site_id and zone. Many-to-one.</w:t>
      </w:r>
    </w:p>
    <w:p>
      <w:pPr>
        <w:pStyle w:val="ListParagraph"/>
        <w:numPr>
          <w:ilvl w:val="0"/>
          <w:numId w:val="9"/>
        </w:numPr>
        <w:spacing w:after="80" w:line="276"/>
        <w:jc w:val="both"/>
      </w:pPr>
      <w:r>
        <w:rPr>
          <w:rFonts w:ascii="Calibri" w:cs="Calibri" w:eastAsia="Calibri" w:hAnsi="Calibri"/>
          <w:sz w:val="21"/>
          <w:szCs w:val="21"/>
        </w:rPr>
        <w:t xml:space="preserve">Result ← site register, on site_id. Many-to-one.</w:t>
      </w:r>
    </w:p>
    <w:p>
      <w:pPr>
        <w:pStyle w:val="ListParagraph"/>
        <w:numPr>
          <w:ilvl w:val="0"/>
          <w:numId w:val="9"/>
        </w:numPr>
        <w:spacing w:after="80" w:line="276"/>
        <w:jc w:val="both"/>
      </w:pPr>
      <w:r>
        <w:rPr>
          <w:rFonts w:ascii="Calibri" w:cs="Calibri" w:eastAsia="Calibri" w:hAnsi="Calibri"/>
          <w:sz w:val="21"/>
          <w:szCs w:val="21"/>
        </w:rPr>
        <w:t xml:space="preserve">Result ← quartet register, on quartet_id. Many-to-one. Reference sites carry a null quartet_id BY DESIGN; that null is expected, not an orphan.</w:t>
      </w:r>
    </w:p>
    <w:p>
      <w:pPr>
        <w:pStyle w:val="ListParagraph"/>
        <w:numPr>
          <w:ilvl w:val="0"/>
          <w:numId w:val="9"/>
        </w:numPr>
        <w:spacing w:after="80" w:line="276"/>
        <w:jc w:val="both"/>
      </w:pPr>
      <w:r>
        <w:rPr>
          <w:rFonts w:ascii="Calibri" w:cs="Calibri" w:eastAsia="Calibri" w:hAnsi="Calibri"/>
          <w:sz w:val="21"/>
          <w:szCs w:val="21"/>
        </w:rPr>
        <w:t xml:space="preserve">Result ← coded community attributes, on site_id. Many-to-one, settlements only. Controls inherit their settlement’s onset through the quartet, never through a direct join.</w:t>
      </w:r>
    </w:p>
    <w:p>
      <w:pPr>
        <w:pStyle w:val="ListParagraph"/>
        <w:numPr>
          <w:ilvl w:val="0"/>
          <w:numId w:val="9"/>
        </w:numPr>
        <w:spacing w:after="80" w:line="276"/>
        <w:jc w:val="both"/>
      </w:pPr>
      <w:r>
        <w:rPr>
          <w:rFonts w:ascii="Calibri" w:cs="Calibri" w:eastAsia="Calibri" w:hAnsi="Calibri"/>
          <w:sz w:val="21"/>
          <w:szCs w:val="21"/>
        </w:rPr>
        <w:t xml:space="preserve">Reference levels applied as a LOOKUP, not a join, so that rescaling cannot expand rows.</w:t>
      </w:r>
    </w:p>
    <w:p>
      <w:pPr>
        <w:pStyle w:val="Heading3"/>
        <w:spacing w:after="110" w:before="220"/>
      </w:pPr>
      <w:r>
        <w:rPr>
          <w:rFonts w:ascii="Calibri" w:cs="Calibri" w:eastAsia="Calibri" w:hAnsi="Calibri"/>
          <w:b/>
          <w:bCs/>
          <w:color w:val="2E5496"/>
          <w:sz w:val="22"/>
          <w:szCs w:val="22"/>
        </w:rPr>
        <w:t xml:space="preserve">The six checks</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6620"/>
      </w:tblGrid>
      <w:tr>
        <w:trPr>
          <w:tblHeader/>
        </w:trPr>
        <w:tc>
          <w:tcPr>
            <w:tcW w:type="dxa" w:w="24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Check</w:t>
            </w:r>
          </w:p>
        </w:tc>
        <w:tc>
          <w:tcPr>
            <w:tcW w:type="dxa" w:w="66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Rule</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Row-count invariance</w:t>
            </w:r>
          </w:p>
        </w:tc>
        <w:tc>
          <w:tcPr>
            <w:tcW w:type="dxa" w:w="6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Record the row count before and after every join. It must be IDENTICAL. Any change, in either direction, stops assembly. No join in this pipeline is allowed to change the number of rows.</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Expected total</w:t>
            </w:r>
          </w:p>
        </w:tc>
        <w:tc>
          <w:tcPr>
            <w:tcW w:type="dxa" w:w="6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Compute the expected row count arithmetically BEFORE opening the extraction output: 848 × 6 × 7, plus 260 × 6 × 9 for the cohort, plus 1,350 × 5 × 7 for the reference pools, plus 260 × 7 × 9 for the cohort = 105,182. Compare. A discrepancy is investigated, never resolved by filtering the table down to the expected size.</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No duplicate keys</w:t>
            </w:r>
          </w:p>
        </w:tc>
        <w:tc>
          <w:tcPr>
            <w:tcW w:type="dxa" w:w="6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No repeated combination of site_id, zone and veg_year. Zero tolerated. This is the check that catches a many-to-many join.</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No orphans either way</w:t>
            </w:r>
          </w:p>
        </w:tc>
        <w:tc>
          <w:tcPr>
            <w:tcW w:type="dxa" w:w="6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No extraction row without a site record; no registered site without extraction rows — unless the absence is recorded with a reason.</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Quartet completeness</w:t>
            </w:r>
          </w:p>
        </w:tc>
        <w:tc>
          <w:tcPr>
            <w:tcW w:type="dxa" w:w="6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Every quartet has exactly one settlement and three controls.</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Column sanity</w:t>
            </w:r>
          </w:p>
        </w:tc>
        <w:tc>
          <w:tcPr>
            <w:tcW w:type="dxa" w:w="6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Every column has the type, unit and plausible range you expect. Areas in square metres, distances in metres, indices between −1 and 1, rescaled scores between 0 and 1, fractions between 0 and 1.</w:t>
            </w:r>
          </w:p>
        </w:tc>
      </w:tr>
    </w:tbl>
    <w:p>
      <w:pPr>
        <w:spacing w:after="120"/>
      </w:pPr>
    </w:p>
    <w:p>
      <w:pPr>
        <w:spacing w:after="120" w:line="276"/>
        <w:jc w:val="both"/>
      </w:pPr>
      <w:r>
        <w:rPr>
          <w:rFonts w:ascii="Calibri" w:cs="Calibri" w:eastAsia="Calibri" w:hAnsi="Calibri"/>
          <w:b w:val="false"/>
          <w:bCs w:val="false"/>
          <w:i w:val="false"/>
          <w:iCs w:val="false"/>
          <w:color w:val="000000"/>
          <w:sz w:val="21"/>
          <w:szCs w:val="21"/>
        </w:rPr>
        <w:t xml:space="preserve">Write these six results into a short assembly report and keep it. It is two paragraphs in the thesis and it is what allows a reader to believe the rest.</w:t>
      </w:r>
    </w:p>
    <w:p>
      <w:pPr>
        <w:pStyle w:val="Heading2"/>
        <w:spacing w:after="130" w:before="280"/>
      </w:pPr>
      <w:r>
        <w:rPr>
          <w:rFonts w:ascii="Calibri" w:cs="Calibri" w:eastAsia="Calibri" w:hAnsi="Calibri"/>
          <w:b/>
          <w:bCs/>
          <w:color w:val="2E5496"/>
          <w:sz w:val="25"/>
          <w:szCs w:val="25"/>
        </w:rPr>
        <w:t xml:space="preserve">5.8  DP10 — Outlier screening</w:t>
      </w:r>
    </w:p>
    <w:p>
      <w:pPr>
        <w:spacing w:after="120" w:line="276"/>
        <w:jc w:val="both"/>
      </w:pPr>
      <w:r>
        <w:rPr>
          <w:rFonts w:ascii="Calibri" w:cs="Calibri" w:eastAsia="Calibri" w:hAnsi="Calibri"/>
          <w:b/>
          <w:bCs/>
          <w:i w:val="false"/>
          <w:iCs w:val="false"/>
          <w:color w:val="000000"/>
          <w:sz w:val="21"/>
          <w:szCs w:val="21"/>
        </w:rPr>
        <w:t xml:space="preserve">Flag and investigate. Never silently remove. </w:t>
      </w:r>
      <w:r>
        <w:rPr>
          <w:rFonts w:ascii="Calibri" w:cs="Calibri" w:eastAsia="Calibri" w:hAnsi="Calibri"/>
          <w:b w:val="false"/>
          <w:bCs w:val="false"/>
          <w:i w:val="false"/>
          <w:iCs w:val="false"/>
          <w:color w:val="000000"/>
          <w:sz w:val="21"/>
          <w:szCs w:val="21"/>
        </w:rPr>
        <w:t xml:space="preserve">Trimming an extreme value from an outcome variable is selection on the outcome. A settlement scoring unusually well or unusually badly is exactly the kind of observation this study exists to find, and a procedure that deletes it for being unusual would discard the finding while appearing to clean the data.</w:t>
      </w:r>
    </w:p>
    <w:p>
      <w:pPr>
        <w:pStyle w:val="ListParagraph"/>
        <w:numPr>
          <w:ilvl w:val="0"/>
          <w:numId w:val="10"/>
        </w:numPr>
        <w:spacing w:after="80" w:line="276"/>
        <w:jc w:val="both"/>
      </w:pPr>
      <w:r>
        <w:rPr>
          <w:rFonts w:ascii="Calibri" w:cs="Calibri" w:eastAsia="Calibri" w:hAnsi="Calibri"/>
          <w:sz w:val="21"/>
          <w:szCs w:val="21"/>
        </w:rPr>
        <w:t xml:space="preserve">For each metric within each stratum, compute a robust standardised deviation using the MEDIAN and the median absolute deviation, not the mean and standard deviation. The mean and standard deviation are themselves distorted by the outliers you are looking for.</w:t>
      </w:r>
    </w:p>
    <w:p>
      <w:pPr>
        <w:pStyle w:val="ListParagraph"/>
        <w:numPr>
          <w:ilvl w:val="0"/>
          <w:numId w:val="10"/>
        </w:numPr>
        <w:spacing w:after="80" w:line="276"/>
        <w:jc w:val="both"/>
      </w:pPr>
      <w:r>
        <w:rPr>
          <w:rFonts w:ascii="Calibri" w:cs="Calibri" w:eastAsia="Calibri" w:hAnsi="Calibri"/>
          <w:sz w:val="21"/>
          <w:szCs w:val="21"/>
        </w:rPr>
        <w:t xml:space="preserve">Flag observations more than 5 robust standard deviations from the stratum median.</w:t>
      </w:r>
    </w:p>
    <w:p>
      <w:pPr>
        <w:pStyle w:val="ListParagraph"/>
        <w:numPr>
          <w:ilvl w:val="0"/>
          <w:numId w:val="10"/>
        </w:numPr>
        <w:spacing w:after="80" w:line="276"/>
        <w:jc w:val="both"/>
      </w:pPr>
      <w:r>
        <w:rPr>
          <w:rFonts w:ascii="Calibri" w:cs="Calibri" w:eastAsia="Calibri" w:hAnsi="Calibri"/>
          <w:sz w:val="21"/>
          <w:szCs w:val="21"/>
        </w:rPr>
        <w:t xml:space="preserve">Inspect every flagged observation on high-resolution imagery and against its own seven-year series.</w:t>
      </w:r>
    </w:p>
    <w:p>
      <w:pPr>
        <w:pStyle w:val="ListParagraph"/>
        <w:numPr>
          <w:ilvl w:val="0"/>
          <w:numId w:val="10"/>
        </w:numPr>
        <w:spacing w:after="80" w:line="276"/>
        <w:jc w:val="both"/>
      </w:pPr>
      <w:r>
        <w:rPr>
          <w:rFonts w:ascii="Calibri" w:cs="Calibri" w:eastAsia="Calibri" w:hAnsi="Calibri"/>
          <w:sz w:val="21"/>
          <w:szCs w:val="21"/>
        </w:rPr>
        <w:t xml:space="preserve">Resolve each to one of three recorded outcomes: a DATA ERROR, corrected at its source and the table rebuilt; an UNDETECTED DISTURBANCE, handled as a disturbance flag; or a GENUINE EXTREME VALUE, retained unchanged.</w:t>
      </w:r>
    </w:p>
    <w:p>
      <w:pPr>
        <w:pStyle w:val="ListParagraph"/>
        <w:numPr>
          <w:ilvl w:val="0"/>
          <w:numId w:val="10"/>
        </w:numPr>
        <w:spacing w:after="80" w:line="276"/>
        <w:jc w:val="both"/>
      </w:pPr>
      <w:r>
        <w:rPr>
          <w:rFonts w:ascii="Calibri" w:cs="Calibri" w:eastAsia="Calibri" w:hAnsi="Calibri"/>
          <w:sz w:val="21"/>
          <w:szCs w:val="21"/>
        </w:rPr>
        <w:t xml:space="preserve">Quantify the influence of retained extremes: re-run the primary analysis with each flagged site removed in turn, and report the largest change any single site produces. A result that depends on one site is reported as depending on one site.</w:t>
      </w:r>
    </w:p>
    <w:p>
      <w:pPr>
        <w:spacing w:after="60"/>
      </w:pPr>
    </w:p>
    <w:p>
      <w:pPr>
        <w:spacing w:after="120" w:line="276"/>
        <w:jc w:val="both"/>
      </w:pPr>
      <w:r>
        <w:rPr>
          <w:rFonts w:ascii="Calibri" w:cs="Calibri" w:eastAsia="Calibri" w:hAnsi="Calibri"/>
          <w:b w:val="false"/>
          <w:bCs w:val="false"/>
          <w:i w:val="false"/>
          <w:iCs w:val="false"/>
          <w:color w:val="000000"/>
          <w:sz w:val="21"/>
          <w:szCs w:val="21"/>
        </w:rPr>
        <w:t xml:space="preserve">Do this before you look at the settlement–control contrast, on all sites at once. Screening outliers after seeing the contrast would let inconvenient settlements be scrutinised harder than convenient ones, without any conscious intent.</w:t>
      </w:r>
    </w:p>
    <w:p>
      <w:pPr>
        <w:pStyle w:val="Heading2"/>
        <w:spacing w:after="130" w:before="280"/>
      </w:pPr>
      <w:r>
        <w:rPr>
          <w:rFonts w:ascii="Calibri" w:cs="Calibri" w:eastAsia="Calibri" w:hAnsi="Calibri"/>
          <w:b/>
          <w:bCs/>
          <w:color w:val="2E5496"/>
          <w:sz w:val="25"/>
          <w:szCs w:val="25"/>
        </w:rPr>
        <w:t xml:space="preserve">5.9  DP11 — Missing-data rules</w:t>
      </w:r>
    </w:p>
    <w:p>
      <w:pPr>
        <w:spacing w:after="120" w:line="276"/>
        <w:jc w:val="both"/>
      </w:pPr>
      <w:r>
        <w:rPr>
          <w:rFonts w:ascii="Calibri" w:cs="Calibri" w:eastAsia="Calibri" w:hAnsi="Calibri"/>
          <w:b/>
          <w:bCs/>
          <w:i w:val="false"/>
          <w:iCs w:val="false"/>
          <w:color w:val="000000"/>
          <w:sz w:val="21"/>
          <w:szCs w:val="21"/>
        </w:rPr>
        <w:t xml:space="preserve">Do not impute outcome values. </w:t>
      </w:r>
      <w:r>
        <w:rPr>
          <w:rFonts w:ascii="Calibri" w:cs="Calibri" w:eastAsia="Calibri" w:hAnsi="Calibri"/>
          <w:b w:val="false"/>
          <w:bCs w:val="false"/>
          <w:i w:val="false"/>
          <w:iCs w:val="false"/>
          <w:color w:val="000000"/>
          <w:sz w:val="21"/>
          <w:szCs w:val="21"/>
        </w:rPr>
        <w:t xml:space="preserve">Missingness here is not random: it follows cloud cover, which follows climate; and observation adequacy, which follows latitude. Imputing outcomes would move information between sites along exactly the axes the study stratifies on.</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6420"/>
      </w:tblGrid>
      <w:tr>
        <w:trPr>
          <w:tblHeader/>
        </w:trPr>
        <w:tc>
          <w:tcPr>
            <w:tcW w:type="dxa" w:w="26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Situation</w:t>
            </w:r>
          </w:p>
        </w:tc>
        <w:tc>
          <w:tcPr>
            <w:tcW w:type="dxa" w:w="64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Rule</w:t>
            </w:r>
          </w:p>
        </w:tc>
      </w:tr>
      <w:tr>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site-year fails the observation gate</w:t>
            </w:r>
          </w:p>
        </w:tc>
        <w:tc>
          <w:tcPr>
            <w:tcW w:type="dxa" w:w="6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Marked missing. The site contributes its remaining years. Sites failing in four or more of seven years leave the primary analysis and are reported.</w:t>
            </w:r>
          </w:p>
        </w:tc>
      </w:tr>
      <w:tr>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zone-year has under 30 valid pixels</w:t>
            </w:r>
          </w:p>
        </w:tc>
        <w:tc>
          <w:tcPr>
            <w:tcW w:type="dxa" w:w="6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That zone-year is missing. Most often ring 1 at dense settlements.</w:t>
            </w:r>
          </w:p>
        </w:tc>
      </w:tr>
      <w:tr>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One metric missing within a dimension</w:t>
            </w:r>
          </w:p>
        </w:tc>
        <w:tc>
          <w:tcPr>
            <w:tcW w:type="dxa" w:w="6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dimension score is computed from the remaining metrics, and the number contributing is recorded.</w:t>
            </w:r>
          </w:p>
        </w:tc>
      </w:tr>
      <w:tr>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whole dimension missing</w:t>
            </w:r>
          </w:p>
        </w:tc>
        <w:tc>
          <w:tcPr>
            <w:tcW w:type="dxa" w:w="6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VCI is computed from the remaining dimensions and FLAGGED as partial. A site missing two or more dimensions is excluded from the primary analysis.</w:t>
            </w:r>
          </w:p>
        </w:tc>
      </w:tr>
      <w:tr>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Onset year unavailable or a founding-year proxy</w:t>
            </w:r>
          </w:p>
        </w:tc>
        <w:tc>
          <w:tcPr>
            <w:tcW w:type="dxa" w:w="6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site is excluded from analysis A4 only. It stays in every other analysis.</w:t>
            </w:r>
          </w:p>
        </w:tc>
      </w:tr>
      <w:tr>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practice code not codeable</w:t>
            </w:r>
          </w:p>
        </w:tc>
        <w:tc>
          <w:tcPr>
            <w:tcW w:type="dxa" w:w="6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That community is excluded from analysis A6 for that code only.</w:t>
            </w:r>
          </w:p>
        </w:tc>
      </w:tr>
      <w:tr>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Seasonal metrics at an aseasonal site</w:t>
            </w:r>
          </w:p>
        </w:tc>
        <w:tc>
          <w:tcPr>
            <w:tcW w:type="dxa" w:w="6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Marked uninformative and excluded from the persistence dimension for that site.</w:t>
            </w:r>
          </w:p>
        </w:tc>
      </w:tr>
      <w:tr>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flag component unavailable</w:t>
            </w:r>
          </w:p>
        </w:tc>
        <w:tc>
          <w:tcPr>
            <w:tcW w:type="dxa" w:w="6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flag is reported as UNAVAILABLE, never as NOT RAISED. An unmeasured subsidy is not an absent one.</w:t>
            </w:r>
          </w:p>
        </w:tc>
      </w:tr>
    </w:tbl>
    <w:p>
      <w:pPr>
        <w:spacing w:after="120"/>
      </w:pPr>
    </w:p>
    <w:p>
      <w:pPr>
        <w:spacing w:after="120" w:line="276"/>
        <w:jc w:val="both"/>
      </w:pPr>
      <w:r>
        <w:rPr>
          <w:rFonts w:ascii="Calibri" w:cs="Calibri" w:eastAsia="Calibri" w:hAnsi="Calibri"/>
          <w:b w:val="false"/>
          <w:bCs w:val="false"/>
          <w:i w:val="false"/>
          <w:iCs w:val="false"/>
          <w:color w:val="000000"/>
          <w:sz w:val="21"/>
          <w:szCs w:val="21"/>
        </w:rPr>
        <w:t xml:space="preserve">Report the missingness pattern itself — per site, per year, per metric, with the reason — as a small table in the thesis. A reader cannot assess a result without knowing what is absent from it.</w:t>
      </w:r>
    </w:p>
    <w:p>
      <w:pPr>
        <w:pStyle w:val="Heading2"/>
        <w:spacing w:after="130" w:before="280"/>
      </w:pPr>
      <w:r>
        <w:rPr>
          <w:rFonts w:ascii="Calibri" w:cs="Calibri" w:eastAsia="Calibri" w:hAnsi="Calibri"/>
          <w:b/>
          <w:bCs/>
          <w:color w:val="2E5496"/>
          <w:sz w:val="25"/>
          <w:szCs w:val="25"/>
        </w:rPr>
        <w:t xml:space="preserve">5.10  DP12 — Freeze the analysis table</w:t>
      </w:r>
    </w:p>
    <w:p>
      <w:pPr>
        <w:pStyle w:val="ListParagraph"/>
        <w:numPr>
          <w:ilvl w:val="0"/>
          <w:numId w:val="11"/>
        </w:numPr>
        <w:spacing w:after="80" w:line="276"/>
        <w:jc w:val="both"/>
      </w:pPr>
      <w:r>
        <w:rPr>
          <w:rFonts w:ascii="Calibri" w:cs="Calibri" w:eastAsia="Calibri" w:hAnsi="Calibri"/>
          <w:sz w:val="21"/>
          <w:szCs w:val="21"/>
        </w:rPr>
        <w:t xml:space="preserve">When all checks pass, save the analysis table with a version number and a date, and do not overwrite it.</w:t>
      </w:r>
    </w:p>
    <w:p>
      <w:pPr>
        <w:pStyle w:val="ListParagraph"/>
        <w:numPr>
          <w:ilvl w:val="0"/>
          <w:numId w:val="11"/>
        </w:numPr>
        <w:spacing w:after="80" w:line="276"/>
        <w:jc w:val="both"/>
      </w:pPr>
      <w:r>
        <w:rPr>
          <w:rFonts w:ascii="Calibri" w:cs="Calibri" w:eastAsia="Calibri" w:hAnsi="Calibri"/>
          <w:sz w:val="21"/>
          <w:szCs w:val="21"/>
        </w:rPr>
        <w:t xml:space="preserve">Record in the decisions log that the table was frozen, and on what date.</w:t>
      </w:r>
    </w:p>
    <w:p>
      <w:pPr>
        <w:pStyle w:val="ListParagraph"/>
        <w:numPr>
          <w:ilvl w:val="0"/>
          <w:numId w:val="11"/>
        </w:numPr>
        <w:spacing w:after="80" w:line="276"/>
        <w:jc w:val="both"/>
      </w:pPr>
      <w:r>
        <w:rPr>
          <w:rFonts w:ascii="Calibri" w:cs="Calibri" w:eastAsia="Calibri" w:hAnsi="Calibri"/>
          <w:sz w:val="21"/>
          <w:szCs w:val="21"/>
        </w:rPr>
        <w:t xml:space="preserve">If you later have to rebuild it, save the new version alongside rather than replacing it, and note in the log what changed and why.</w:t>
      </w:r>
    </w:p>
    <w:p>
      <w:pPr>
        <w:spacing w:after="60"/>
      </w:pPr>
    </w:p>
    <w:p>
      <w:pPr>
        <w:spacing w:after="120" w:line="276"/>
        <w:jc w:val="both"/>
      </w:pPr>
      <w:r>
        <w:rPr>
          <w:rFonts w:ascii="Calibri" w:cs="Calibri" w:eastAsia="Calibri" w:hAnsi="Calibri"/>
          <w:b w:val="false"/>
          <w:bCs w:val="false"/>
          <w:i w:val="false"/>
          <w:iCs w:val="false"/>
          <w:color w:val="000000"/>
          <w:sz w:val="21"/>
          <w:szCs w:val="21"/>
        </w:rPr>
        <w:t xml:space="preserve">This is the boundary between preparation and analysis. Everything before it is allowed to change freely; everything after it is measurement.</w:t>
      </w:r>
    </w:p>
    <w:p>
      <w:r>
        <w:br w:type="page"/>
      </w:r>
    </w:p>
    <w:p>
      <w:pPr>
        <w:pStyle w:val="Heading1"/>
        <w:pBdr>
          <w:bottom w:val="single" w:color="1F3864" w:sz="12" w:space="6"/>
        </w:pBdr>
        <w:spacing w:after="200" w:before="400"/>
      </w:pPr>
      <w:r>
        <w:rPr>
          <w:rFonts w:ascii="Calibri" w:cs="Calibri" w:eastAsia="Calibri" w:hAnsi="Calibri"/>
          <w:b/>
          <w:bCs/>
          <w:color w:val="1F3864"/>
          <w:sz w:val="32"/>
          <w:szCs w:val="32"/>
        </w:rPr>
        <w:t xml:space="preserve">Part 6  ·  Reference levels and the index</w:t>
      </w:r>
    </w:p>
    <w:p>
      <w:pPr>
        <w:spacing w:after="120" w:line="276"/>
        <w:jc w:val="both"/>
      </w:pPr>
      <w:r>
        <w:rPr>
          <w:rFonts w:ascii="Calibri" w:cs="Calibri" w:eastAsia="Calibri" w:hAnsi="Calibri"/>
          <w:b w:val="false"/>
          <w:bCs w:val="false"/>
          <w:i w:val="false"/>
          <w:iCs w:val="false"/>
          <w:color w:val="000000"/>
          <w:sz w:val="21"/>
          <w:szCs w:val="21"/>
        </w:rPr>
        <w:t xml:space="preserve">This part turns raw metrics into comparable scores. It contains the study’s own formulas, written out.</w:t>
      </w:r>
    </w:p>
    <w:p>
      <w:pPr>
        <w:pStyle w:val="Heading2"/>
        <w:spacing w:after="130" w:before="280"/>
      </w:pPr>
      <w:r>
        <w:rPr>
          <w:rFonts w:ascii="Calibri" w:cs="Calibri" w:eastAsia="Calibri" w:hAnsi="Calibri"/>
          <w:b/>
          <w:bCs/>
          <w:color w:val="2E5496"/>
          <w:sz w:val="25"/>
          <w:szCs w:val="25"/>
        </w:rPr>
        <w:t xml:space="preserve">6.1  Why rescaling is necessary</w:t>
      </w:r>
    </w:p>
    <w:p>
      <w:pPr>
        <w:spacing w:after="120" w:line="276"/>
        <w:jc w:val="both"/>
      </w:pPr>
      <w:r>
        <w:rPr>
          <w:rFonts w:ascii="Calibri" w:cs="Calibri" w:eastAsia="Calibri" w:hAnsi="Calibri"/>
          <w:b w:val="false"/>
          <w:bCs w:val="false"/>
          <w:i w:val="false"/>
          <w:iCs w:val="false"/>
          <w:color w:val="000000"/>
          <w:sz w:val="21"/>
          <w:szCs w:val="21"/>
        </w:rPr>
        <w:t xml:space="preserve">A dry-season NDVI of 0.45 is exceptional in semi-arid rangeland and poor in humid tropical forest. Comparing raw values across sixty countries would measure climate, and the climate difference is far larger than any effect the study is looking for. Every metric is therefore expressed not in its own units but as a proportion of what is ATTAINABLE at that location.</w:t>
      </w:r>
    </w:p>
    <w:p>
      <w:pPr>
        <w:spacing w:after="120" w:line="276"/>
        <w:jc w:val="both"/>
      </w:pPr>
      <w:r>
        <w:rPr>
          <w:rFonts w:ascii="Calibri" w:cs="Calibri" w:eastAsia="Calibri" w:hAnsi="Calibri"/>
          <w:b w:val="false"/>
          <w:bCs w:val="false"/>
          <w:i w:val="false"/>
          <w:iCs w:val="false"/>
          <w:color w:val="000000"/>
          <w:sz w:val="21"/>
          <w:szCs w:val="21"/>
        </w:rPr>
        <w:t xml:space="preserve">This requires an external answer to "what should be here?", supplied independently of the settlements themselves. Building that answer is the purpose of the reference pools.</w:t>
      </w:r>
    </w:p>
    <w:p>
      <w:pPr>
        <w:pStyle w:val="Heading2"/>
        <w:spacing w:after="130" w:before="280"/>
      </w:pPr>
      <w:r>
        <w:rPr>
          <w:rFonts w:ascii="Calibri" w:cs="Calibri" w:eastAsia="Calibri" w:hAnsi="Calibri"/>
          <w:b/>
          <w:bCs/>
          <w:color w:val="2E5496"/>
          <w:sz w:val="25"/>
          <w:szCs w:val="25"/>
        </w:rPr>
        <w:t xml:space="preserve">6.2  Three reference pools, and what each anchors</w:t>
      </w:r>
    </w:p>
    <w:tbl>
      <w:tblPr>
        <w:tblW w:type="dxa" w:w="9020"/>
        <w:tblBorders>
          <w:top w:val="none" w:color="FFFFFF" w:sz="0"/>
          <w:left w:val="single" w:color="C0504D" w:sz="18"/>
          <w:bottom w:val="none" w:color="FFFFFF" w:sz="0"/>
          <w:right w:val="none" w:color="FFFFFF" w:sz="0"/>
          <w:insideH w:val="none" w:color="FFFFFF" w:sz="0"/>
          <w:insideV w:val="none" w:color="FFFFFF" w:sz="0"/>
        </w:tblBorders>
      </w:tblPr>
      <w:tblGrid>
        <w:gridCol w:w="9020"/>
      </w:tblGrid>
      <w:tr>
        <w:tc>
          <w:tcPr>
            <w:tcW w:type="dxa" w:w="9020"/>
            <w:shd w:fill="FDECEC" w:color="auto" w:val="clear"/>
            <w:tcMar>
              <w:top w:type="dxa" w:w="150"/>
              <w:left w:type="dxa" w:w="180"/>
              <w:bottom w:type="dxa" w:w="150"/>
              <w:right w:type="dxa" w:w="180"/>
            </w:tcMar>
          </w:tcPr>
          <w:p>
            <w:pPr>
              <w:spacing w:after="90"/>
            </w:pPr>
            <w:r>
              <w:rPr>
                <w:rFonts w:ascii="Calibri" w:cs="Calibri" w:eastAsia="Calibri" w:hAnsi="Calibri"/>
                <w:b/>
                <w:bCs/>
                <w:color w:val="C0504D"/>
                <w:sz w:val="21"/>
                <w:szCs w:val="21"/>
              </w:rPr>
              <w:t xml:space="preserve">This is the correction to the most serious error in version 1.0</w:t>
            </w:r>
          </w:p>
          <w:p>
            <w:pPr>
              <w:spacing w:after="90" w:line="276"/>
              <w:jc w:val="both"/>
            </w:pPr>
            <w:r>
              <w:rPr>
                <w:rFonts w:ascii="Calibri" w:cs="Calibri" w:eastAsia="Calibri" w:hAnsi="Calibri"/>
                <w:sz w:val="20"/>
                <w:szCs w:val="20"/>
              </w:rPr>
              <w:t xml:space="preserve">Version 1.0 rescaled EVERY metric against natural reference sites as the ceiling. That is right for condition and wrong for provisioning: a natural forest produces almost nothing harvestable, so using it as the ceiling for provisioning capacity would give nearly every settlement and control a score near 1.0 and destroy all discrimination on the second primary outcome.</w:t>
            </w:r>
          </w:p>
          <w:p>
            <w:pPr>
              <w:spacing w:after="90" w:line="276"/>
              <w:jc w:val="both"/>
            </w:pPr>
            <w:r>
              <w:rPr>
                <w:rFonts w:ascii="Calibri" w:cs="Calibri" w:eastAsia="Calibri" w:hAnsi="Calibri"/>
                <w:sz w:val="20"/>
                <w:szCs w:val="20"/>
              </w:rPr>
              <w:t xml:space="preserve">The two axes need different anchors, and the three pools supply them symmetrically.</w:t>
            </w:r>
          </w:p>
        </w:tc>
      </w:tr>
    </w:tbl>
    <w:p>
      <w:pPr>
        <w:spacing w:after="140"/>
      </w:pP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1800"/>
        <w:gridCol w:w="1600"/>
        <w:gridCol w:w="2400"/>
        <w:gridCol w:w="3220"/>
      </w:tblGrid>
      <w:tr>
        <w:trPr>
          <w:tblHeader/>
        </w:trPr>
        <w:tc>
          <w:tcPr>
            <w:tcW w:type="dxa" w:w="18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Pool</w:t>
            </w:r>
          </w:p>
        </w:tc>
        <w:tc>
          <w:tcPr>
            <w:tcW w:type="dxa" w:w="16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Size</w:t>
            </w:r>
          </w:p>
        </w:tc>
        <w:tc>
          <w:tcPr>
            <w:tcW w:type="dxa" w:w="24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What it is</w:t>
            </w:r>
          </w:p>
        </w:tc>
        <w:tc>
          <w:tcPr>
            <w:tcW w:type="dxa" w:w="32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What it anchors</w:t>
            </w:r>
          </w:p>
        </w:tc>
      </w:tr>
      <w:tr>
        <w:tc>
          <w:tcPr>
            <w:tcW w:type="dxa" w:w="1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NATURAL</w:t>
            </w:r>
          </w:p>
        </w:tc>
        <w:tc>
          <w:tcPr>
            <w:tcW w:type="dxa" w:w="1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~600 sites</w:t>
            </w:r>
          </w:p>
        </w:tc>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Least-disturbed land: human modification below threshold, no built-up, no cropland, no forest loss, no fire, away from roads</w:t>
            </w:r>
          </w:p>
        </w:tc>
        <w:tc>
          <w:tcPr>
            <w:tcW w:type="dxa" w:w="32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CEILING for condition (95th percentile) and the FLOOR for provisioning (5th percentile)</w:t>
            </w:r>
          </w:p>
        </w:tc>
      </w:tr>
      <w:tr>
        <w:tc>
          <w:tcPr>
            <w:tcW w:type="dxa" w:w="1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SEMI-URBAN, reference subset</w:t>
            </w:r>
          </w:p>
        </w:tc>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~300 sites</w:t>
            </w:r>
          </w:p>
        </w:tc>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Low-density settled land at the rural fringe</w:t>
            </w:r>
          </w:p>
        </w:tc>
        <w:tc>
          <w:tcPr>
            <w:tcW w:type="dxa" w:w="32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FLOOR for condition (5th percentile)</w:t>
            </w:r>
          </w:p>
        </w:tc>
      </w:tr>
      <w:tr>
        <w:tc>
          <w:tcPr>
            <w:tcW w:type="dxa" w:w="1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SEMI-URBAN, held-out subset</w:t>
            </w:r>
          </w:p>
        </w:tc>
        <w:tc>
          <w:tcPr>
            <w:tcW w:type="dxa" w:w="1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~150 sites</w:t>
            </w:r>
          </w:p>
        </w:tc>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same, drawn from the same pool but DISJOINT</w:t>
            </w:r>
          </w:p>
        </w:tc>
        <w:tc>
          <w:tcPr>
            <w:tcW w:type="dxa" w:w="32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Nothing. Used only as the comparison group for H7 — see below</w:t>
            </w:r>
          </w:p>
        </w:tc>
      </w:tr>
      <w:tr>
        <w:tc>
          <w:tcPr>
            <w:tcW w:type="dxa" w:w="1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PRODUCTIVE</w:t>
            </w:r>
          </w:p>
        </w:tc>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~300 sites</w:t>
            </w:r>
          </w:p>
        </w:tc>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High-output managed farmland: cropland or managed grassland probability above threshold, no built-up, upper part of the stratum productivity distribution</w:t>
            </w:r>
          </w:p>
        </w:tc>
        <w:tc>
          <w:tcPr>
            <w:tcW w:type="dxa" w:w="32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CEILING for provisioning (95th percentile)</w:t>
            </w:r>
          </w:p>
        </w:tc>
      </w:tr>
    </w:tbl>
    <w:p>
      <w:pPr>
        <w:spacing w:after="120"/>
      </w:pPr>
    </w:p>
    <w:tbl>
      <w:tblPr>
        <w:tblW w:type="dxa" w:w="9020"/>
        <w:tblBorders>
          <w:top w:val="none" w:color="FFFFFF" w:sz="0"/>
          <w:left w:val="single" w:color="C0504D" w:sz="18"/>
          <w:bottom w:val="none" w:color="FFFFFF" w:sz="0"/>
          <w:right w:val="none" w:color="FFFFFF" w:sz="0"/>
          <w:insideH w:val="none" w:color="FFFFFF" w:sz="0"/>
          <w:insideV w:val="none" w:color="FFFFFF" w:sz="0"/>
        </w:tblBorders>
      </w:tblPr>
      <w:tblGrid>
        <w:gridCol w:w="9020"/>
      </w:tblGrid>
      <w:tr>
        <w:tc>
          <w:tcPr>
            <w:tcW w:type="dxa" w:w="9020"/>
            <w:shd w:fill="FDECEC" w:color="auto" w:val="clear"/>
            <w:tcMar>
              <w:top w:type="dxa" w:w="150"/>
              <w:left w:type="dxa" w:w="180"/>
              <w:bottom w:type="dxa" w:w="150"/>
              <w:right w:type="dxa" w:w="180"/>
            </w:tcMar>
          </w:tcPr>
          <w:p>
            <w:pPr>
              <w:spacing w:after="90"/>
            </w:pPr>
            <w:r>
              <w:rPr>
                <w:rFonts w:ascii="Calibri" w:cs="Calibri" w:eastAsia="Calibri" w:hAnsi="Calibri"/>
                <w:b/>
                <w:bCs/>
                <w:color w:val="C0504D"/>
                <w:sz w:val="21"/>
                <w:szCs w:val="21"/>
              </w:rPr>
              <w:t xml:space="preserve">Why the semi-urban pool is split — the second correction</w:t>
            </w:r>
          </w:p>
          <w:p>
            <w:pPr>
              <w:spacing w:after="90" w:line="276"/>
              <w:jc w:val="both"/>
            </w:pPr>
            <w:r>
              <w:rPr>
                <w:rFonts w:ascii="Calibri" w:cs="Calibri" w:eastAsia="Calibri" w:hAnsi="Calibri"/>
                <w:sz w:val="20"/>
                <w:szCs w:val="20"/>
              </w:rPr>
              <w:t xml:space="preserve">In version 1.0, semi-urban sites were simultaneously the FLOOR of the condition scale and the COMPARISON GROUP for hypothesis H7. Rescaled against themselves, they score near zero by construction — so H7 would have "confirmed" a difference the arithmetic created.</w:t>
            </w:r>
          </w:p>
          <w:p>
            <w:pPr>
              <w:spacing w:after="90" w:line="276"/>
              <w:jc w:val="both"/>
            </w:pPr>
            <w:r>
              <w:rPr>
                <w:rFonts w:ascii="Calibri" w:cs="Calibri" w:eastAsia="Calibri" w:hAnsi="Calibri"/>
                <w:sz w:val="20"/>
                <w:szCs w:val="20"/>
              </w:rPr>
              <w:t xml:space="preserve">Draw the semi-urban pool larger, then split it with a recorded seed: two-thirds set the reference floor, one-third is held out and used only for H7. The two subsets are disjoint, so the H7 comparison is no longer against the scale’s own definition.</w:t>
            </w:r>
          </w:p>
          <w:p>
            <w:pPr>
              <w:spacing w:after="90" w:line="276"/>
              <w:jc w:val="both"/>
            </w:pPr>
            <w:r>
              <w:rPr>
                <w:rFonts w:ascii="Calibri" w:cs="Calibri" w:eastAsia="Calibri" w:hAnsi="Calibri"/>
                <w:sz w:val="20"/>
                <w:szCs w:val="20"/>
              </w:rPr>
              <w:t xml:space="preserve">Record the seed in the decisions log. This costs one line of code and removes a circularity a reviewer would certainly find.</w:t>
            </w:r>
          </w:p>
        </w:tc>
      </w:tr>
    </w:tbl>
    <w:p>
      <w:pPr>
        <w:spacing w:after="140"/>
      </w:pPr>
    </w:p>
    <w:p>
      <w:pPr>
        <w:pStyle w:val="Heading3"/>
        <w:spacing w:after="110" w:before="220"/>
      </w:pPr>
      <w:r>
        <w:rPr>
          <w:rFonts w:ascii="Calibri" w:cs="Calibri" w:eastAsia="Calibri" w:hAnsi="Calibri"/>
          <w:b/>
          <w:bCs/>
          <w:color w:val="2E5496"/>
          <w:sz w:val="22"/>
          <w:szCs w:val="22"/>
        </w:rPr>
        <w:t xml:space="preserve">Five radii, five sets of reference levels</w:t>
      </w:r>
    </w:p>
    <w:tbl>
      <w:tblPr>
        <w:tblW w:type="dxa" w:w="9020"/>
        <w:tblBorders>
          <w:top w:val="none" w:color="FFFFFF" w:sz="0"/>
          <w:left w:val="single" w:color="C0504D" w:sz="18"/>
          <w:bottom w:val="none" w:color="FFFFFF" w:sz="0"/>
          <w:right w:val="none" w:color="FFFFFF" w:sz="0"/>
          <w:insideH w:val="none" w:color="FFFFFF" w:sz="0"/>
          <w:insideV w:val="none" w:color="FFFFFF" w:sz="0"/>
        </w:tblBorders>
      </w:tblPr>
      <w:tblGrid>
        <w:gridCol w:w="9020"/>
      </w:tblGrid>
      <w:tr>
        <w:tc>
          <w:tcPr>
            <w:tcW w:type="dxa" w:w="9020"/>
            <w:shd w:fill="FDECEC" w:color="auto" w:val="clear"/>
            <w:tcMar>
              <w:top w:type="dxa" w:w="150"/>
              <w:left w:type="dxa" w:w="180"/>
              <w:bottom w:type="dxa" w:w="150"/>
              <w:right w:type="dxa" w:w="180"/>
            </w:tcMar>
          </w:tcPr>
          <w:p>
            <w:pPr>
              <w:spacing w:after="90"/>
            </w:pPr>
            <w:r>
              <w:rPr>
                <w:rFonts w:ascii="Calibri" w:cs="Calibri" w:eastAsia="Calibri" w:hAnsi="Calibri"/>
                <w:b/>
                <w:bCs/>
                <w:color w:val="C0504D"/>
                <w:sz w:val="21"/>
                <w:szCs w:val="21"/>
              </w:rPr>
              <w:t xml:space="preserve">This is the condition that makes size-matched zones legitimate</w:t>
            </w:r>
          </w:p>
          <w:p>
            <w:pPr>
              <w:spacing w:after="90" w:line="276"/>
              <w:jc w:val="both"/>
            </w:pPr>
            <w:r>
              <w:rPr>
                <w:rFonts w:ascii="Calibri" w:cs="Calibri" w:eastAsia="Calibri" w:hAnsi="Calibri"/>
                <w:sz w:val="20"/>
                <w:szCs w:val="20"/>
              </w:rPr>
              <w:t xml:space="preserve">The spread of a spatial average depends on how much ground it averages. A 100 metre zone is noisier than a 200 metre one, so the DISTRIBUTION of any metric across reference sites is wider at 100 m and narrower at 200 m — and the 95th and 5th percentiles move accordingly.</w:t>
            </w:r>
          </w:p>
          <w:p>
            <w:pPr>
              <w:spacing w:after="90" w:line="276"/>
              <w:jc w:val="both"/>
            </w:pPr>
            <w:r>
              <w:rPr>
                <w:rFonts w:ascii="Calibri" w:cs="Calibri" w:eastAsia="Calibri" w:hAnsi="Calibri"/>
                <w:sz w:val="20"/>
                <w:szCs w:val="20"/>
              </w:rPr>
              <w:t xml:space="preserve">Rescale a 2-hectare polygon against a 7-hectare reference distribution and every score at that site is biased. Worse, the bias is invisible afterwards: the values stay plausible, nothing goes out of range, and no diagnostic fires.</w:t>
            </w:r>
          </w:p>
          <w:p>
            <w:pPr>
              <w:spacing w:after="90" w:line="276"/>
              <w:jc w:val="both"/>
            </w:pPr>
            <w:r>
              <w:rPr>
                <w:rFonts w:ascii="Calibri" w:cs="Calibri" w:eastAsia="Calibri" w:hAnsi="Calibri"/>
                <w:sz w:val="20"/>
                <w:szCs w:val="20"/>
              </w:rPr>
              <w:t xml:space="preserve">So reference levels are computed FIVE TIMES for every stratum — at 75, 110, 150, 210 and 300 m — and each study site is rescaled against whichever set is closest in AREA to its polygon. Five sizes rather than three, because polygon areas spread more widely than three could cover; each step is about twice the one before, so the worst mismatch is 1.47 times, a shift of roughly 3 per cent.</w:t>
            </w:r>
          </w:p>
        </w:tc>
      </w:tr>
    </w:tbl>
    <w:p>
      <w:pPr>
        <w:spacing w:after="120"/>
      </w:pPr>
    </w:p>
    <w:p>
      <w:pPr>
        <w:spacing w:after="120" w:line="276"/>
        <w:jc w:val="both"/>
      </w:pPr>
      <w:r>
        <w:rPr>
          <w:rFonts w:ascii="Calibri" w:cs="Calibri" w:eastAsia="Calibri" w:hAnsi="Calibri"/>
          <w:b/>
          <w:bCs/>
          <w:i w:val="false"/>
          <w:iCs w:val="false"/>
          <w:color w:val="000000"/>
          <w:sz w:val="21"/>
          <w:szCs w:val="21"/>
        </w:rPr>
        <w:t xml:space="preserve">One reassurance about pooling sites of different sizes. </w:t>
      </w:r>
      <w:r>
        <w:rPr>
          <w:rFonts w:ascii="Calibri" w:cs="Calibri" w:eastAsia="Calibri" w:hAnsi="Calibri"/>
          <w:b w:val="false"/>
          <w:bCs w:val="false"/>
          <w:i w:val="false"/>
          <w:iCs w:val="false"/>
          <w:color w:val="000000"/>
          <w:sz w:val="21"/>
          <w:szCs w:val="21"/>
        </w:rPr>
        <w:t xml:space="preserve">Because rescaling divides by the reference range, and that range is itself wider for smaller units, the rescaling PARTLY self-corrects. Across the full span of polygon sizes the rescaled standard deviation runs 0.198 at 1.77 ha, 0.185 at 7.07 ha and 0.171 at 28.27 ha — a spread of 16 per cent from end to end. Larger than the 8 per cent of version 3.4, because the range of unit sizes is now wider, but still small enough to pool in one model, which is what analysis A1 does. Report the polygon-area distribution beside the primary result so a reader can see the span it covers.</w:t>
      </w:r>
    </w:p>
    <w:p>
      <w:pPr>
        <w:spacing w:after="140"/>
      </w:pPr>
    </w:p>
    <w:p>
      <w:pPr>
        <w:pStyle w:val="Heading2"/>
        <w:spacing w:after="130" w:before="280"/>
      </w:pPr>
      <w:r>
        <w:rPr>
          <w:rFonts w:ascii="Calibri" w:cs="Calibri" w:eastAsia="Calibri" w:hAnsi="Calibri"/>
          <w:b/>
          <w:bCs/>
          <w:color w:val="2E5496"/>
          <w:sz w:val="25"/>
          <w:szCs w:val="25"/>
        </w:rPr>
        <w:t xml:space="preserve">6.3  Strata — where a reference level is meaningful</w:t>
      </w:r>
    </w:p>
    <w:p>
      <w:pPr>
        <w:spacing w:after="120" w:line="276"/>
        <w:jc w:val="both"/>
      </w:pPr>
      <w:r>
        <w:rPr>
          <w:rFonts w:ascii="Calibri" w:cs="Calibri" w:eastAsia="Calibri" w:hAnsi="Calibri"/>
          <w:b w:val="false"/>
          <w:bCs w:val="false"/>
          <w:i w:val="false"/>
          <w:iCs w:val="false"/>
          <w:color w:val="000000"/>
          <w:sz w:val="21"/>
          <w:szCs w:val="21"/>
        </w:rPr>
        <w:t xml:space="preserve">A reference level only means something within an environment where the same vegetation is possible. Three variables define that environment.</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6620"/>
      </w:tblGrid>
      <w:tr>
        <w:trPr>
          <w:tblHeader/>
        </w:trPr>
        <w:tc>
          <w:tcPr>
            <w:tcW w:type="dxa" w:w="24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Variable</w:t>
            </w:r>
          </w:p>
        </w:tc>
        <w:tc>
          <w:tcPr>
            <w:tcW w:type="dxa" w:w="66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Why it is needed</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Köppen main climate group (A, B, C, D)</w:t>
            </w:r>
          </w:p>
        </w:tc>
        <w:tc>
          <w:tcPr>
            <w:tcW w:type="dxa" w:w="6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Water and temperature availability set the first-order limit on attainable vegetation. Main groups rather than full classes, so strata stay populated.</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Terrestrial biome</w:t>
            </w:r>
          </w:p>
        </w:tc>
        <w:tc>
          <w:tcPr>
            <w:tcW w:type="dxa" w:w="6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Two places in one climate group can support entirely different vegetation — temperate grassland and temperate broadleaf forest are both group C.</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Terrain class (flat, undulating, hilly, steep)</w:t>
            </w:r>
          </w:p>
        </w:tc>
        <w:tc>
          <w:tcPr>
            <w:tcW w:type="dxa" w:w="6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Attainable condition on a 30-degree slope differs from that on a floodplain, and settlements are disproportionately on sloping ground.</w:t>
            </w:r>
          </w:p>
        </w:tc>
      </w:tr>
    </w:tbl>
    <w:p>
      <w:pPr>
        <w:spacing w:after="120"/>
      </w:pPr>
    </w:p>
    <w:p>
      <w:pPr>
        <w:pStyle w:val="Heading3"/>
        <w:spacing w:after="110" w:before="220"/>
      </w:pPr>
      <w:r>
        <w:rPr>
          <w:rFonts w:ascii="Calibri" w:cs="Calibri" w:eastAsia="Calibri" w:hAnsi="Calibri"/>
          <w:b/>
          <w:bCs/>
          <w:color w:val="2E5496"/>
          <w:sz w:val="22"/>
          <w:szCs w:val="22"/>
        </w:rPr>
        <w:t xml:space="preserve">The pooling ladder</w:t>
      </w:r>
    </w:p>
    <w:p>
      <w:pPr>
        <w:spacing w:after="120" w:line="276"/>
        <w:jc w:val="both"/>
      </w:pPr>
      <w:r>
        <w:rPr>
          <w:rFonts w:ascii="Calibri" w:cs="Calibri" w:eastAsia="Calibri" w:hAnsi="Calibri"/>
          <w:b w:val="false"/>
          <w:bCs w:val="false"/>
          <w:i w:val="false"/>
          <w:iCs w:val="false"/>
          <w:color w:val="000000"/>
          <w:sz w:val="21"/>
          <w:szCs w:val="21"/>
        </w:rPr>
        <w:t xml:space="preserve">Crossing all three produces many cells, and some will be thinly populated. Declare this ladder in advance and apply it automatically, so that the decision to pool is never made after seeing which pooling gives a convenient answer.</w:t>
      </w:r>
    </w:p>
    <w:p>
      <w:pPr>
        <w:pStyle w:val="ListParagraph"/>
        <w:numPr>
          <w:ilvl w:val="0"/>
          <w:numId w:val="12"/>
        </w:numPr>
        <w:spacing w:after="80" w:line="276"/>
        <w:jc w:val="both"/>
      </w:pPr>
      <w:r>
        <w:rPr>
          <w:rFonts w:ascii="Calibri" w:cs="Calibri" w:eastAsia="Calibri" w:hAnsi="Calibri"/>
          <w:sz w:val="21"/>
          <w:szCs w:val="21"/>
        </w:rPr>
        <w:t xml:space="preserve">Rung 0 — full stratum: climate group × biome × terrain class. Use where at least 30 reference sites of the relevant pool exist.</w:t>
      </w:r>
    </w:p>
    <w:p>
      <w:pPr>
        <w:pStyle w:val="ListParagraph"/>
        <w:numPr>
          <w:ilvl w:val="0"/>
          <w:numId w:val="12"/>
        </w:numPr>
        <w:spacing w:after="80" w:line="276"/>
        <w:jc w:val="both"/>
      </w:pPr>
      <w:r>
        <w:rPr>
          <w:rFonts w:ascii="Calibri" w:cs="Calibri" w:eastAsia="Calibri" w:hAnsi="Calibri"/>
          <w:sz w:val="21"/>
          <w:szCs w:val="21"/>
        </w:rPr>
        <w:t xml:space="preserve">Rung 1 — pool terrain classes, keeping climate group × biome. Record that terrain was pooled.</w:t>
      </w:r>
    </w:p>
    <w:p>
      <w:pPr>
        <w:pStyle w:val="ListParagraph"/>
        <w:numPr>
          <w:ilvl w:val="0"/>
          <w:numId w:val="12"/>
        </w:numPr>
        <w:spacing w:after="80" w:line="276"/>
        <w:jc w:val="both"/>
      </w:pPr>
      <w:r>
        <w:rPr>
          <w:rFonts w:ascii="Calibri" w:cs="Calibri" w:eastAsia="Calibri" w:hAnsi="Calibri"/>
          <w:sz w:val="21"/>
          <w:szCs w:val="21"/>
        </w:rPr>
        <w:t xml:space="preserve">Rung 2 — pool to the nearest adjacent biome within the climate group.</w:t>
      </w:r>
    </w:p>
    <w:p>
      <w:pPr>
        <w:pStyle w:val="ListParagraph"/>
        <w:numPr>
          <w:ilvl w:val="0"/>
          <w:numId w:val="12"/>
        </w:numPr>
        <w:spacing w:after="80" w:line="276"/>
        <w:jc w:val="both"/>
      </w:pPr>
      <w:r>
        <w:rPr>
          <w:rFonts w:ascii="Calibri" w:cs="Calibri" w:eastAsia="Calibri" w:hAnsi="Calibri"/>
          <w:sz w:val="21"/>
          <w:szCs w:val="21"/>
        </w:rPr>
        <w:t xml:space="preserve">Rung 3 — pool to climate group alone.</w:t>
      </w:r>
    </w:p>
    <w:p>
      <w:pPr>
        <w:pStyle w:val="ListParagraph"/>
        <w:numPr>
          <w:ilvl w:val="0"/>
          <w:numId w:val="12"/>
        </w:numPr>
        <w:spacing w:after="80" w:line="276"/>
        <w:jc w:val="both"/>
      </w:pPr>
      <w:r>
        <w:rPr>
          <w:rFonts w:ascii="Calibri" w:cs="Calibri" w:eastAsia="Calibri" w:hAnsi="Calibri"/>
          <w:sz w:val="21"/>
          <w:szCs w:val="21"/>
        </w:rPr>
        <w:t xml:space="preserve">Rung 4 — no defensible reference. Sites in that stratum are reported descriptively and excluded from rescaled analyses.</w:t>
      </w:r>
    </w:p>
    <w:p>
      <w:pPr>
        <w:spacing w:after="60"/>
      </w:pPr>
    </w:p>
    <w:p>
      <w:pPr>
        <w:spacing w:after="120" w:line="276"/>
        <w:jc w:val="both"/>
      </w:pPr>
      <w:r>
        <w:rPr>
          <w:rFonts w:ascii="Calibri" w:cs="Calibri" w:eastAsia="Calibri" w:hAnsi="Calibri"/>
          <w:b w:val="false"/>
          <w:bCs w:val="false"/>
          <w:i w:val="false"/>
          <w:iCs w:val="false"/>
          <w:color w:val="000000"/>
          <w:sz w:val="21"/>
          <w:szCs w:val="21"/>
        </w:rPr>
        <w:t xml:space="preserve">Record the rung reached for every stratum and report it. A reference level from rung 3 carries less authority than one from rung 0, and a reader should be able to see which is which.</w:t>
      </w:r>
    </w:p>
    <w:p>
      <w:pPr>
        <w:pStyle w:val="Heading2"/>
        <w:spacing w:after="130" w:before="280"/>
      </w:pPr>
      <w:r>
        <w:rPr>
          <w:rFonts w:ascii="Calibri" w:cs="Calibri" w:eastAsia="Calibri" w:hAnsi="Calibri"/>
          <w:b/>
          <w:bCs/>
          <w:color w:val="2E5496"/>
          <w:sz w:val="25"/>
          <w:szCs w:val="25"/>
        </w:rPr>
        <w:t xml:space="preserve">6.4  The rescaling formula</w:t>
      </w:r>
    </w:p>
    <w:p>
      <w:pPr>
        <w:spacing w:after="120" w:line="276"/>
        <w:jc w:val="both"/>
      </w:pPr>
      <w:r>
        <w:rPr>
          <w:rFonts w:ascii="Calibri" w:cs="Calibri" w:eastAsia="Calibri" w:hAnsi="Calibri"/>
          <w:b w:val="false"/>
          <w:bCs w:val="false"/>
          <w:i w:val="false"/>
          <w:iCs w:val="false"/>
          <w:color w:val="000000"/>
          <w:sz w:val="21"/>
          <w:szCs w:val="21"/>
        </w:rPr>
        <w:t xml:space="preserve">For metric m at site i in stratum s:</w:t>
      </w:r>
    </w:p>
    <w:p>
      <w:pPr>
        <w:spacing w:after="130" w:before="130"/>
        <w:jc w:val="center"/>
      </w:pPr>
      <w:r>
        <w:rPr>
          <w:rFonts w:ascii="Consolas" w:cs="Consolas" w:eastAsia="Consolas" w:hAnsi="Consolas"/>
          <w:b/>
          <w:bCs/>
          <w:sz w:val="22"/>
          <w:szCs w:val="22"/>
        </w:rPr>
        <w:t xml:space="preserve">rescaled(m,i)  =  ( raw(m,i) − LOW(m,s,r) ) / ( HIGH(m,s,r) − LOW(m,s,r) )</w:t>
      </w:r>
    </w:p>
    <w:p>
      <w:pPr>
        <w:spacing w:after="130" w:before="0"/>
        <w:jc w:val="center"/>
      </w:pPr>
      <w:r>
        <w:rPr>
          <w:rFonts w:ascii="Calibri" w:cs="Calibri" w:eastAsia="Calibri" w:hAnsi="Calibri"/>
          <w:i/>
          <w:iCs/>
          <w:color w:val="595959"/>
          <w:sz w:val="17"/>
          <w:szCs w:val="17"/>
        </w:rPr>
        <w:t xml:space="preserve">clipped to [0, 1]; s is the stratum, r is the reference radius closest in AREA to that site’s polygon</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6420"/>
      </w:tblGrid>
      <w:tr>
        <w:trPr>
          <w:tblHeader/>
        </w:trPr>
        <w:tc>
          <w:tcPr>
            <w:tcW w:type="dxa" w:w="26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Term</w:t>
            </w:r>
          </w:p>
        </w:tc>
        <w:tc>
          <w:tcPr>
            <w:tcW w:type="dxa" w:w="64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Definition</w:t>
            </w:r>
          </w:p>
        </w:tc>
      </w:tr>
      <w:tr>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raw(m,i)</w:t>
            </w:r>
          </w:p>
        </w:tc>
        <w:tc>
          <w:tcPr>
            <w:tcW w:type="dxa" w:w="6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metric as extracted, at site i, averaged across the seven vegetation years.</w:t>
            </w:r>
          </w:p>
        </w:tc>
      </w:tr>
      <w:tr>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HIGH(m,s,r)</w:t>
            </w:r>
          </w:p>
        </w:tc>
        <w:tc>
          <w:tcPr>
            <w:tcW w:type="dxa" w:w="6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For CONDITION metrics: the 95th percentile across NATURAL reference sites in stratum s, computed at RADIUS r. For PROVISIONING metrics: the 95th percentile across PRODUCTIVE reference sites in stratum s at radius r. The radius is whichever of the five is closest in area to that site’s polygon.</w:t>
            </w:r>
          </w:p>
        </w:tc>
      </w:tr>
      <w:tr>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LOW(m,s,r)</w:t>
            </w:r>
          </w:p>
        </w:tc>
        <w:tc>
          <w:tcPr>
            <w:tcW w:type="dxa" w:w="6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For CONDITION metrics: the 5th percentile across the SEMI-URBAN reference subset in stratum s at radius r. For PROVISIONING metrics: the 5th percentile across NATURAL reference sites in stratum s at radius r.</w:t>
            </w:r>
          </w:p>
        </w:tc>
      </w:tr>
      <w:tr>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Clipping</w:t>
            </w:r>
          </w:p>
        </w:tc>
        <w:tc>
          <w:tcPr>
            <w:tcW w:type="dxa" w:w="6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Values outside [0, 1] are set to the boundary. Record the proportion clipped at each end, per metric and stratum. A high clipping rate means the anchors are badly placed for that stratum and needs investigating.</w:t>
            </w:r>
          </w:p>
        </w:tc>
      </w:tr>
    </w:tbl>
    <w:p>
      <w:pPr>
        <w:spacing w:after="120"/>
      </w:pPr>
    </w:p>
    <w:p>
      <w:pPr>
        <w:spacing w:after="120" w:line="276"/>
        <w:jc w:val="both"/>
      </w:pPr>
      <w:r>
        <w:rPr>
          <w:rFonts w:ascii="Calibri" w:cs="Calibri" w:eastAsia="Calibri" w:hAnsi="Calibri"/>
          <w:b/>
          <w:bCs/>
          <w:i w:val="false"/>
          <w:iCs w:val="false"/>
          <w:color w:val="000000"/>
          <w:sz w:val="21"/>
          <w:szCs w:val="21"/>
        </w:rPr>
        <w:t xml:space="preserve">Why the 95th percentile and not the maximum. </w:t>
      </w:r>
      <w:r>
        <w:rPr>
          <w:rFonts w:ascii="Calibri" w:cs="Calibri" w:eastAsia="Calibri" w:hAnsi="Calibri"/>
          <w:b w:val="false"/>
          <w:bCs w:val="false"/>
          <w:i w:val="false"/>
          <w:iCs w:val="false"/>
          <w:color w:val="000000"/>
          <w:sz w:val="21"/>
          <w:szCs w:val="21"/>
        </w:rPr>
        <w:t xml:space="preserve">The maximum of a sample is unstable — it is whichever single site happens to be extreme, and it changes if you resample. The 95th percentile is stable, has an interpretable meaning (the level exceeded by one site in twenty), and can be given a confidence interval by bootstrap.</w:t>
      </w:r>
    </w:p>
    <w:p>
      <w:pPr>
        <w:pStyle w:val="Heading3"/>
        <w:spacing w:after="110" w:before="220"/>
      </w:pPr>
      <w:r>
        <w:rPr>
          <w:rFonts w:ascii="Calibri" w:cs="Calibri" w:eastAsia="Calibri" w:hAnsi="Calibri"/>
          <w:b/>
          <w:bCs/>
          <w:color w:val="2E5496"/>
          <w:sz w:val="22"/>
          <w:szCs w:val="22"/>
        </w:rPr>
        <w:t xml:space="preserve">Sign inversion</w:t>
      </w:r>
    </w:p>
    <w:p>
      <w:pPr>
        <w:spacing w:after="120" w:line="276"/>
        <w:jc w:val="both"/>
      </w:pPr>
      <w:r>
        <w:rPr>
          <w:rFonts w:ascii="Calibri" w:cs="Calibri" w:eastAsia="Calibri" w:hAnsi="Calibri"/>
          <w:b w:val="false"/>
          <w:bCs w:val="false"/>
          <w:i w:val="false"/>
          <w:iCs w:val="false"/>
          <w:color w:val="000000"/>
          <w:sz w:val="21"/>
          <w:szCs w:val="21"/>
        </w:rPr>
        <w:t xml:space="preserve">Three metrics run in the opposite direction: for them a LOWER raw value means BETTER condition. Invert them BEFORE rescaling:</w:t>
      </w:r>
    </w:p>
    <w:p>
      <w:pPr>
        <w:spacing w:after="130" w:before="130"/>
        <w:jc w:val="center"/>
      </w:pPr>
      <w:r>
        <w:rPr>
          <w:rFonts w:ascii="Consolas" w:cs="Consolas" w:eastAsia="Consolas" w:hAnsi="Consolas"/>
          <w:b/>
          <w:bCs/>
          <w:sz w:val="22"/>
          <w:szCs w:val="22"/>
        </w:rPr>
        <w:t xml:space="preserve">raw_inverted  =  −raw</w:t>
      </w:r>
    </w:p>
    <w:p>
      <w:pPr>
        <w:spacing w:after="120" w:line="276"/>
        <w:jc w:val="both"/>
      </w:pPr>
      <w:r>
        <w:rPr>
          <w:rFonts w:ascii="Calibri" w:cs="Calibri" w:eastAsia="Calibri" w:hAnsi="Calibri"/>
          <w:b w:val="false"/>
          <w:bCs w:val="false"/>
          <w:i w:val="false"/>
          <w:iCs w:val="false"/>
          <w:color w:val="000000"/>
          <w:sz w:val="21"/>
          <w:szCs w:val="21"/>
        </w:rPr>
        <w:t xml:space="preserve">The three are VM6 bare-ground fraction, VM7 interannual variability and VM14 seasonal decline rate. Record the inversion explicitly in your code. An un-inverted metric enters the aggregate with the wrong sign, degrades the index, and produces no visible error — this is the most common silent mistake in composite index construction.</w:t>
      </w:r>
    </w:p>
    <w:p>
      <w:pPr>
        <w:pStyle w:val="Heading2"/>
        <w:spacing w:after="130" w:before="280"/>
      </w:pPr>
      <w:r>
        <w:rPr>
          <w:rFonts w:ascii="Calibri" w:cs="Calibri" w:eastAsia="Calibri" w:hAnsi="Calibri"/>
          <w:b/>
          <w:bCs/>
          <w:color w:val="2E5496"/>
          <w:sz w:val="25"/>
          <w:szCs w:val="25"/>
        </w:rPr>
        <w:t xml:space="preserve">6.5  Aggregation — the index formulas</w:t>
      </w:r>
    </w:p>
    <w:p>
      <w:pPr>
        <w:pStyle w:val="Heading3"/>
        <w:spacing w:after="110" w:before="220"/>
      </w:pPr>
      <w:r>
        <w:rPr>
          <w:rFonts w:ascii="Calibri" w:cs="Calibri" w:eastAsia="Calibri" w:hAnsi="Calibri"/>
          <w:b/>
          <w:bCs/>
          <w:color w:val="2E5496"/>
          <w:sz w:val="22"/>
          <w:szCs w:val="22"/>
        </w:rPr>
        <w:t xml:space="preserve">Within a dimension: arithmetic mean</w:t>
      </w:r>
    </w:p>
    <w:p>
      <w:pPr>
        <w:spacing w:after="130" w:before="130"/>
        <w:jc w:val="center"/>
      </w:pPr>
      <w:r>
        <w:rPr>
          <w:rFonts w:ascii="Consolas" w:cs="Consolas" w:eastAsia="Consolas" w:hAnsi="Consolas"/>
          <w:b/>
          <w:bCs/>
          <w:sz w:val="22"/>
          <w:szCs w:val="22"/>
        </w:rPr>
        <w:t xml:space="preserve">VCI-P  =  ( r(VM1) + r(VM2) + r(VM13) ) / 3</w:t>
      </w:r>
    </w:p>
    <w:p>
      <w:pPr>
        <w:spacing w:after="130" w:before="130"/>
        <w:jc w:val="center"/>
      </w:pPr>
      <w:r>
        <w:rPr>
          <w:rFonts w:ascii="Consolas" w:cs="Consolas" w:eastAsia="Consolas" w:hAnsi="Consolas"/>
          <w:b/>
          <w:bCs/>
          <w:sz w:val="22"/>
          <w:szCs w:val="22"/>
        </w:rPr>
        <w:t xml:space="preserve">VCI-S  =  ( r(VM3) + r(VM4) + r(VM5) + r(VM6) + r(VM7) + r(VM14) ) / 6</w:t>
      </w:r>
    </w:p>
    <w:p>
      <w:pPr>
        <w:spacing w:after="130" w:before="130"/>
        <w:jc w:val="center"/>
      </w:pPr>
      <w:r>
        <w:rPr>
          <w:rFonts w:ascii="Consolas" w:cs="Consolas" w:eastAsia="Consolas" w:hAnsi="Consolas"/>
          <w:b/>
          <w:bCs/>
          <w:sz w:val="22"/>
          <w:szCs w:val="22"/>
        </w:rPr>
        <w:t xml:space="preserve">VCI-T  =  ( r(VM8) + r(VM9) ) / 2</w:t>
      </w:r>
    </w:p>
    <w:p>
      <w:pPr>
        <w:spacing w:after="130" w:before="130"/>
        <w:jc w:val="center"/>
      </w:pPr>
      <w:r>
        <w:rPr>
          <w:rFonts w:ascii="Consolas" w:cs="Consolas" w:eastAsia="Consolas" w:hAnsi="Consolas"/>
          <w:b/>
          <w:bCs/>
          <w:sz w:val="22"/>
          <w:szCs w:val="22"/>
        </w:rPr>
        <w:t xml:space="preserve">VCI-C  =  ( r(VM10) + r(VM11) + r(VM12) ) / 3</w:t>
      </w:r>
    </w:p>
    <w:p>
      <w:pPr>
        <w:spacing w:after="130" w:before="0"/>
        <w:jc w:val="center"/>
      </w:pPr>
      <w:r>
        <w:rPr>
          <w:rFonts w:ascii="Calibri" w:cs="Calibri" w:eastAsia="Calibri" w:hAnsi="Calibri"/>
          <w:i/>
          <w:iCs/>
          <w:color w:val="595959"/>
          <w:sz w:val="17"/>
          <w:szCs w:val="17"/>
        </w:rPr>
        <w:t xml:space="preserve">computed over the COMMON 150 m circle at every site, with a 70 m window — see the notes below</w:t>
      </w:r>
    </w:p>
    <w:p>
      <w:pPr>
        <w:spacing w:after="130" w:before="0"/>
        <w:jc w:val="center"/>
      </w:pPr>
      <w:r>
        <w:rPr>
          <w:rFonts w:ascii="Calibri" w:cs="Calibri" w:eastAsia="Calibri" w:hAnsi="Calibri"/>
          <w:i/>
          <w:iCs/>
          <w:color w:val="595959"/>
          <w:sz w:val="17"/>
          <w:szCs w:val="17"/>
        </w:rPr>
        <w:t xml:space="preserve">where r( ) denotes the rescaled value</w:t>
      </w:r>
    </w:p>
    <w:p>
      <w:pPr>
        <w:spacing w:after="60"/>
      </w:pPr>
    </w:p>
    <w:p>
      <w:pPr>
        <w:spacing w:after="120" w:line="276"/>
        <w:jc w:val="both"/>
      </w:pPr>
      <w:r>
        <w:rPr>
          <w:rFonts w:ascii="Calibri" w:cs="Calibri" w:eastAsia="Calibri" w:hAnsi="Calibri"/>
          <w:b/>
          <w:bCs/>
          <w:i w:val="false"/>
          <w:iCs w:val="false"/>
          <w:color w:val="000000"/>
          <w:sz w:val="21"/>
          <w:szCs w:val="21"/>
        </w:rPr>
        <w:t xml:space="preserve">One exception to the polygon, and it is deliberate. </w:t>
      </w:r>
      <w:r>
        <w:rPr>
          <w:rFonts w:ascii="Calibri" w:cs="Calibri" w:eastAsia="Calibri" w:hAnsi="Calibri"/>
          <w:b w:val="false"/>
          <w:bCs w:val="false"/>
          <w:i w:val="false"/>
          <w:iCs w:val="false"/>
          <w:color w:val="000000"/>
          <w:sz w:val="21"/>
          <w:szCs w:val="21"/>
        </w:rPr>
        <w:t xml:space="preserve">The three configuration metrics are computed over the COMMON 150 metre circle at every site, not over the polygon. A 70 metre pattern window covers 1.54 hectares, so a small or thin polygon would hold only one or two window-areas — far too few for a landscape pattern metric to mean anything, and the number would differ from site to site. Productivity, persistence and structure come from the polygon; configuration comes from the common circle, identically everywhere. This replaces the max(radius, 150 m) rule of version 3.4 with one uniform rule, and it must be stated in the methods rather than left implicit.</w:t>
      </w:r>
    </w:p>
    <w:p>
      <w:pPr>
        <w:spacing w:after="120" w:line="276"/>
        <w:jc w:val="both"/>
      </w:pPr>
      <w:r>
        <w:rPr>
          <w:rFonts w:ascii="Calibri" w:cs="Calibri" w:eastAsia="Calibri" w:hAnsi="Calibri"/>
          <w:b w:val="false"/>
          <w:bCs w:val="false"/>
          <w:i w:val="false"/>
          <w:iCs w:val="false"/>
          <w:color w:val="000000"/>
          <w:sz w:val="21"/>
          <w:szCs w:val="21"/>
        </w:rPr>
        <w:t xml:space="preserve">Arithmetic averaging is right WITHIN a dimension, because metrics there are alternative measurements of the same property and a low value on one is legitimately compensated by a high value on another. A site may express persistence through moisture retention or through cover duration; either is persistence.</w:t>
      </w:r>
    </w:p>
    <w:p>
      <w:pPr>
        <w:pStyle w:val="Heading3"/>
        <w:spacing w:after="110" w:before="220"/>
      </w:pPr>
      <w:r>
        <w:rPr>
          <w:rFonts w:ascii="Calibri" w:cs="Calibri" w:eastAsia="Calibri" w:hAnsi="Calibri"/>
          <w:b/>
          <w:bCs/>
          <w:color w:val="2E5496"/>
          <w:sz w:val="22"/>
          <w:szCs w:val="22"/>
        </w:rPr>
        <w:t xml:space="preserve">Between dimensions: geometric mean</w:t>
      </w:r>
    </w:p>
    <w:p>
      <w:pPr>
        <w:spacing w:after="130" w:before="130"/>
        <w:jc w:val="center"/>
      </w:pPr>
      <w:r>
        <w:rPr>
          <w:rFonts w:ascii="Consolas" w:cs="Consolas" w:eastAsia="Consolas" w:hAnsi="Consolas"/>
          <w:b/>
          <w:bCs/>
          <w:sz w:val="22"/>
          <w:szCs w:val="22"/>
        </w:rPr>
        <w:t xml:space="preserve">VCI  =  ( VCI-P × VCI-S × VCI-T × VCI-C ) ^ (1/4)</w:t>
      </w:r>
    </w:p>
    <w:p>
      <w:pPr>
        <w:spacing w:after="120" w:line="276"/>
        <w:jc w:val="both"/>
      </w:pPr>
      <w:r>
        <w:rPr>
          <w:rFonts w:ascii="Calibri" w:cs="Calibri" w:eastAsia="Calibri" w:hAnsi="Calibri"/>
          <w:b w:val="false"/>
          <w:bCs w:val="false"/>
          <w:i w:val="false"/>
          <w:iCs w:val="false"/>
          <w:color w:val="000000"/>
          <w:sz w:val="21"/>
          <w:szCs w:val="21"/>
        </w:rPr>
        <w:t xml:space="preserve">Geometric averaging is right BETWEEN dimensions, and the reason is worth seeing numerically.</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2200"/>
        <w:gridCol w:w="2200"/>
        <w:gridCol w:w="2220"/>
      </w:tblGrid>
      <w:tr>
        <w:trPr>
          <w:tblHeader/>
        </w:trPr>
        <w:tc>
          <w:tcPr>
            <w:tcW w:type="dxa" w:w="24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c>
          <w:tcPr>
            <w:tcW w:type="dxa" w:w="22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Site A — balanced</w:t>
            </w:r>
          </w:p>
        </w:tc>
        <w:tc>
          <w:tcPr>
            <w:tcW w:type="dxa" w:w="22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Site B — a plantation</w:t>
            </w:r>
          </w:p>
        </w:tc>
        <w:tc>
          <w:tcPr>
            <w:tcW w:type="dxa" w:w="22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Productivity</w:t>
            </w:r>
          </w:p>
        </w:tc>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0.60</w:t>
            </w:r>
          </w:p>
        </w:tc>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0.95</w:t>
            </w:r>
          </w:p>
        </w:tc>
        <w:tc>
          <w:tcPr>
            <w:tcW w:type="dxa" w:w="22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Persistence</w:t>
            </w:r>
          </w:p>
        </w:tc>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0.60</w:t>
            </w:r>
          </w:p>
        </w:tc>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0.90</w:t>
            </w:r>
          </w:p>
        </w:tc>
        <w:tc>
          <w:tcPr>
            <w:tcW w:type="dxa" w:w="22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Structure</w:t>
            </w:r>
          </w:p>
        </w:tc>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0.60</w:t>
            </w:r>
          </w:p>
        </w:tc>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0.95</w:t>
            </w:r>
          </w:p>
        </w:tc>
        <w:tc>
          <w:tcPr>
            <w:tcW w:type="dxa" w:w="22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Configuration</w:t>
            </w:r>
          </w:p>
        </w:tc>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0.60</w:t>
            </w:r>
          </w:p>
        </w:tc>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0.10</w:t>
            </w:r>
          </w:p>
        </w:tc>
        <w:tc>
          <w:tcPr>
            <w:tcW w:type="dxa" w:w="22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Arithmetic mean</w:t>
            </w:r>
          </w:p>
        </w:tc>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0.600</w:t>
            </w:r>
          </w:p>
        </w:tc>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0.725</w:t>
            </w:r>
          </w:p>
        </w:tc>
        <w:tc>
          <w:tcPr>
            <w:tcW w:type="dxa" w:w="22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 wins</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GEOMETRIC mean</w:t>
            </w:r>
          </w:p>
        </w:tc>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0.600</w:t>
            </w:r>
          </w:p>
        </w:tc>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0.546</w:t>
            </w:r>
          </w:p>
        </w:tc>
        <w:tc>
          <w:tcPr>
            <w:tcW w:type="dxa" w:w="22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wins</w:t>
            </w:r>
          </w:p>
        </w:tc>
      </w:tr>
    </w:tbl>
    <w:p>
      <w:pPr>
        <w:spacing w:after="120"/>
      </w:pPr>
    </w:p>
    <w:p>
      <w:pPr>
        <w:spacing w:after="120" w:line="276"/>
        <w:jc w:val="both"/>
      </w:pPr>
      <w:r>
        <w:rPr>
          <w:rFonts w:ascii="Calibri" w:cs="Calibri" w:eastAsia="Calibri" w:hAnsi="Calibri"/>
          <w:b w:val="false"/>
          <w:bCs w:val="false"/>
          <w:i w:val="false"/>
          <w:iCs w:val="false"/>
          <w:color w:val="000000"/>
          <w:sz w:val="21"/>
          <w:szCs w:val="21"/>
        </w:rPr>
        <w:t xml:space="preserve">Site B is productive, tall and persistent with almost no spatial or phenological variety — a monoculture plantation. Under arithmetic averaging it beats the balanced site. Under geometric averaging it does not, because the near-zero configuration score pulls the product down and cannot be bought back by excellence elsewhere.</w:t>
      </w:r>
    </w:p>
    <w:p>
      <w:pPr>
        <w:spacing w:after="120" w:line="276"/>
        <w:jc w:val="both"/>
      </w:pPr>
      <w:r>
        <w:rPr>
          <w:rFonts w:ascii="Calibri" w:cs="Calibri" w:eastAsia="Calibri" w:hAnsi="Calibri"/>
          <w:b/>
          <w:bCs/>
          <w:i w:val="false"/>
          <w:iCs w:val="false"/>
          <w:color w:val="000000"/>
          <w:sz w:val="21"/>
          <w:szCs w:val="21"/>
        </w:rPr>
        <w:t xml:space="preserve">This is the property the study needs. </w:t>
      </w:r>
      <w:r>
        <w:rPr>
          <w:rFonts w:ascii="Calibri" w:cs="Calibri" w:eastAsia="Calibri" w:hAnsi="Calibri"/>
          <w:b w:val="false"/>
          <w:bCs w:val="false"/>
          <w:i w:val="false"/>
          <w:iCs w:val="false"/>
          <w:color w:val="000000"/>
          <w:sz w:val="21"/>
          <w:szCs w:val="21"/>
        </w:rPr>
        <w:t xml:space="preserve">Landscape simplification always trades a low score on one dimension for high scores on others. An additive index would therefore award its highest scores to exactly the landscapes the study is designed to identify as DIFFERENT from intentional communities.</w:t>
      </w:r>
    </w:p>
    <w:p>
      <w:pPr>
        <w:pStyle w:val="ListParagraph"/>
        <w:numPr>
          <w:ilvl w:val="0"/>
          <w:numId w:val="13"/>
        </w:numPr>
        <w:spacing w:after="80" w:line="276"/>
        <w:jc w:val="both"/>
      </w:pPr>
      <w:r>
        <w:rPr>
          <w:rFonts w:ascii="Calibri" w:cs="Calibri" w:eastAsia="Calibri" w:hAnsi="Calibri"/>
          <w:sz w:val="21"/>
          <w:szCs w:val="21"/>
        </w:rPr>
        <w:t xml:space="preserve">Floor every rescaled value at 0.01 before taking the geometric mean. A single true zero would annihilate the product. Report how often the floor is applied.</w:t>
      </w:r>
    </w:p>
    <w:p>
      <w:pPr>
        <w:pStyle w:val="ListParagraph"/>
        <w:numPr>
          <w:ilvl w:val="0"/>
          <w:numId w:val="13"/>
        </w:numPr>
        <w:spacing w:after="80" w:line="276"/>
        <w:jc w:val="both"/>
      </w:pPr>
      <w:r>
        <w:rPr>
          <w:rFonts w:ascii="Calibri" w:cs="Calibri" w:eastAsia="Calibri" w:hAnsi="Calibri"/>
          <w:sz w:val="21"/>
          <w:szCs w:val="21"/>
        </w:rPr>
        <w:t xml:space="preserve">If one dimension is entirely missing, compute the geometric mean over the remaining three and flag the site as partial. If two or more are missing, exclude the site from the primary analysis.</w:t>
      </w:r>
    </w:p>
    <w:p>
      <w:pPr>
        <w:pStyle w:val="Heading3"/>
        <w:spacing w:after="110" w:before="220"/>
      </w:pPr>
      <w:r>
        <w:rPr>
          <w:rFonts w:ascii="Calibri" w:cs="Calibri" w:eastAsia="Calibri" w:hAnsi="Calibri"/>
          <w:b/>
          <w:bCs/>
          <w:color w:val="2E5496"/>
          <w:sz w:val="22"/>
          <w:szCs w:val="22"/>
        </w:rPr>
        <w:t xml:space="preserve">Provisioning: arithmetic mean</w:t>
      </w:r>
    </w:p>
    <w:p>
      <w:pPr>
        <w:spacing w:after="130" w:before="130"/>
        <w:jc w:val="center"/>
      </w:pPr>
      <w:r>
        <w:rPr>
          <w:rFonts w:ascii="Consolas" w:cs="Consolas" w:eastAsia="Consolas" w:hAnsi="Consolas"/>
          <w:b/>
          <w:bCs/>
          <w:sz w:val="22"/>
          <w:szCs w:val="22"/>
        </w:rPr>
        <w:t xml:space="preserve">PCI  =  ( r(PM1) + r(PM2) + r(PM3) ) / 3</w:t>
      </w:r>
    </w:p>
    <w:p>
      <w:pPr>
        <w:spacing w:after="120" w:line="276"/>
        <w:jc w:val="both"/>
      </w:pPr>
      <w:r>
        <w:rPr>
          <w:rFonts w:ascii="Calibri" w:cs="Calibri" w:eastAsia="Calibri" w:hAnsi="Calibri"/>
          <w:b w:val="false"/>
          <w:bCs w:val="false"/>
          <w:i w:val="false"/>
          <w:iCs w:val="false"/>
          <w:color w:val="000000"/>
          <w:sz w:val="21"/>
          <w:szCs w:val="21"/>
        </w:rPr>
        <w:t xml:space="preserve">Arithmetic, because the three provisioning metrics measure the same property — how much productive capacity the land captures — through extent, intensity and energy. There is no compensation problem to guard against here.</w:t>
      </w:r>
    </w:p>
    <w:p>
      <w:pPr>
        <w:pStyle w:val="Heading3"/>
        <w:spacing w:after="110" w:before="220"/>
      </w:pPr>
      <w:r>
        <w:rPr>
          <w:rFonts w:ascii="Calibri" w:cs="Calibri" w:eastAsia="Calibri" w:hAnsi="Calibri"/>
          <w:b/>
          <w:bCs/>
          <w:color w:val="2E5496"/>
          <w:sz w:val="22"/>
          <w:szCs w:val="22"/>
        </w:rPr>
        <w:t xml:space="preserve">The management-diagnostic score</w:t>
      </w:r>
    </w:p>
    <w:p>
      <w:pPr>
        <w:spacing w:after="130" w:before="130"/>
        <w:jc w:val="center"/>
      </w:pPr>
      <w:r>
        <w:rPr>
          <w:rFonts w:ascii="Consolas" w:cs="Consolas" w:eastAsia="Consolas" w:hAnsi="Consolas"/>
          <w:b/>
          <w:bCs/>
          <w:sz w:val="22"/>
          <w:szCs w:val="22"/>
        </w:rPr>
        <w:t xml:space="preserve">MDS  =  ( r(VM5) + r(VM6) + r(VM11) + r(VM12) + r(VM14) + r(PM1) + r(PM2) ) / 7</w:t>
      </w:r>
    </w:p>
    <w:p>
      <w:pPr>
        <w:spacing w:after="120" w:line="276"/>
        <w:jc w:val="both"/>
      </w:pPr>
      <w:r>
        <w:rPr>
          <w:rFonts w:ascii="Calibri" w:cs="Calibri" w:eastAsia="Calibri" w:hAnsi="Calibri"/>
          <w:b w:val="false"/>
          <w:bCs w:val="false"/>
          <w:i w:val="false"/>
          <w:iCs w:val="false"/>
          <w:color w:val="000000"/>
          <w:sz w:val="21"/>
          <w:szCs w:val="21"/>
        </w:rPr>
        <w:t xml:space="preserve">A single arithmetic mean of the seven management-dominated metrics. Used only in analysis A5. It is NOT a rebuilt four-dimension index — that cannot be formed, because productivity and structure contain no management-dominated metrics at all.</w:t>
      </w:r>
    </w:p>
    <w:p>
      <w:pPr>
        <w:pStyle w:val="Heading2"/>
        <w:spacing w:after="130" w:before="280"/>
      </w:pPr>
      <w:r>
        <w:rPr>
          <w:rFonts w:ascii="Calibri" w:cs="Calibri" w:eastAsia="Calibri" w:hAnsi="Calibri"/>
          <w:b/>
          <w:bCs/>
          <w:color w:val="2E5496"/>
          <w:sz w:val="25"/>
          <w:szCs w:val="25"/>
        </w:rPr>
        <w:t xml:space="preserve">6.6  The two flags — formulas and thresholds</w:t>
      </w:r>
    </w:p>
    <w:p>
      <w:pPr>
        <w:pStyle w:val="Heading3"/>
        <w:spacing w:after="110" w:before="220"/>
      </w:pPr>
      <w:r>
        <w:rPr>
          <w:rFonts w:ascii="Calibri" w:cs="Calibri" w:eastAsia="Calibri" w:hAnsi="Calibri"/>
          <w:b/>
          <w:bCs/>
          <w:color w:val="2E5496"/>
          <w:sz w:val="22"/>
          <w:szCs w:val="22"/>
        </w:rPr>
        <w:t xml:space="preserve">FC1 — Rainfall–NDVI coupling</w:t>
      </w:r>
    </w:p>
    <w:p>
      <w:pPr>
        <w:spacing w:after="130" w:before="130"/>
        <w:jc w:val="center"/>
      </w:pPr>
      <w:r>
        <w:rPr>
          <w:rFonts w:ascii="Consolas" w:cs="Consolas" w:eastAsia="Consolas" w:hAnsi="Consolas"/>
          <w:b/>
          <w:bCs/>
          <w:sz w:val="22"/>
          <w:szCs w:val="22"/>
        </w:rPr>
        <w:t xml:space="preserve">FC1  =  corr( NDVI_anomaly(y) ,  Rain_anomaly(y) )   over y = 1…7</w:t>
      </w:r>
    </w:p>
    <w:p>
      <w:pPr>
        <w:spacing w:after="130" w:before="0"/>
        <w:jc w:val="center"/>
      </w:pPr>
      <w:r>
        <w:rPr>
          <w:rFonts w:ascii="Calibri" w:cs="Calibri" w:eastAsia="Calibri" w:hAnsi="Calibri"/>
          <w:i/>
          <w:iCs/>
          <w:color w:val="595959"/>
          <w:sz w:val="17"/>
          <w:szCs w:val="17"/>
        </w:rPr>
        <w:t xml:space="preserve">where anomaly(y) = value(y) − mean across the seven years</w:t>
      </w:r>
    </w:p>
    <w:p>
      <w:pPr>
        <w:spacing w:after="120" w:line="276"/>
        <w:jc w:val="both"/>
      </w:pPr>
      <w:r>
        <w:rPr>
          <w:rFonts w:ascii="Calibri" w:cs="Calibri" w:eastAsia="Calibri" w:hAnsi="Calibri"/>
          <w:b w:val="false"/>
          <w:bCs w:val="false"/>
          <w:i w:val="false"/>
          <w:iCs w:val="false"/>
          <w:color w:val="000000"/>
          <w:sz w:val="21"/>
          <w:szCs w:val="21"/>
        </w:rPr>
        <w:t xml:space="preserve">In a rain-fed system, a dry year gives a lower NDVI and a wet year a higher one, so the correlation is positive. Irrigation breaks that link. A LOW or negative coupling where rainfall is limiting is the first signature of imported water.</w:t>
      </w:r>
    </w:p>
    <w:p>
      <w:pPr>
        <w:pStyle w:val="Heading3"/>
        <w:spacing w:after="110" w:before="220"/>
      </w:pPr>
      <w:r>
        <w:rPr>
          <w:rFonts w:ascii="Calibri" w:cs="Calibri" w:eastAsia="Calibri" w:hAnsi="Calibri"/>
          <w:b/>
          <w:bCs/>
          <w:color w:val="2E5496"/>
          <w:sz w:val="22"/>
          <w:szCs w:val="22"/>
        </w:rPr>
        <w:t xml:space="preserve">FC2 — Rain-use efficiency</w:t>
      </w:r>
    </w:p>
    <w:p>
      <w:pPr>
        <w:spacing w:after="130" w:before="130"/>
        <w:jc w:val="center"/>
      </w:pPr>
      <w:r>
        <w:rPr>
          <w:rFonts w:ascii="Consolas" w:cs="Consolas" w:eastAsia="Consolas" w:hAnsi="Consolas"/>
          <w:b/>
          <w:bCs/>
          <w:sz w:val="22"/>
          <w:szCs w:val="22"/>
        </w:rPr>
        <w:t xml:space="preserve">FC2  =  mean annual kNDVI integral  /  mean annual rainfall</w:t>
      </w:r>
    </w:p>
    <w:p>
      <w:pPr>
        <w:spacing w:after="120" w:line="276"/>
        <w:jc w:val="both"/>
      </w:pPr>
      <w:r>
        <w:rPr>
          <w:rFonts w:ascii="Calibri" w:cs="Calibri" w:eastAsia="Calibri" w:hAnsi="Calibri"/>
          <w:b w:val="false"/>
          <w:bCs w:val="false"/>
          <w:i w:val="false"/>
          <w:iCs w:val="false"/>
          <w:color w:val="000000"/>
          <w:sz w:val="21"/>
          <w:szCs w:val="21"/>
        </w:rPr>
        <w:t xml:space="preserve">Expressed as a percentile of the stratum distribution. Producing much more vegetation per millimetre than neighbours in the same climate is the second signature.</w:t>
      </w:r>
    </w:p>
    <w:p>
      <w:pPr>
        <w:pStyle w:val="Heading3"/>
        <w:spacing w:after="110" w:before="220"/>
      </w:pPr>
      <w:r>
        <w:rPr>
          <w:rFonts w:ascii="Calibri" w:cs="Calibri" w:eastAsia="Calibri" w:hAnsi="Calibri"/>
          <w:b/>
          <w:bCs/>
          <w:color w:val="2E5496"/>
          <w:sz w:val="22"/>
          <w:szCs w:val="22"/>
        </w:rPr>
        <w:t xml:space="preserve">FC3 — Bare-soil episode frequency</w:t>
      </w:r>
    </w:p>
    <w:p>
      <w:pPr>
        <w:spacing w:after="130" w:before="130"/>
        <w:jc w:val="center"/>
      </w:pPr>
      <w:r>
        <w:rPr>
          <w:rFonts w:ascii="Consolas" w:cs="Consolas" w:eastAsia="Consolas" w:hAnsi="Consolas"/>
          <w:b/>
          <w:bCs/>
          <w:sz w:val="22"/>
          <w:szCs w:val="22"/>
        </w:rPr>
        <w:t xml:space="preserve">FC3  =  number of months per year with mean BSI above the stratum 75th percentile</w:t>
      </w:r>
    </w:p>
    <w:p>
      <w:pPr>
        <w:spacing w:after="120" w:line="276"/>
        <w:jc w:val="both"/>
      </w:pPr>
      <w:r>
        <w:rPr>
          <w:rFonts w:ascii="Calibri" w:cs="Calibri" w:eastAsia="Calibri" w:hAnsi="Calibri"/>
          <w:b w:val="false"/>
          <w:bCs w:val="false"/>
          <w:i w:val="false"/>
          <w:iCs w:val="false"/>
          <w:color w:val="000000"/>
          <w:sz w:val="21"/>
          <w:szCs w:val="21"/>
        </w:rPr>
        <w:t xml:space="preserve">Averaged across the seven years. Computed AFTER built-up masking, or roofs and roads are counted as bare soil.</w:t>
      </w:r>
    </w:p>
    <w:p>
      <w:pPr>
        <w:pStyle w:val="Heading3"/>
        <w:spacing w:after="110" w:before="220"/>
      </w:pPr>
      <w:r>
        <w:rPr>
          <w:rFonts w:ascii="Calibri" w:cs="Calibri" w:eastAsia="Calibri" w:hAnsi="Calibri"/>
          <w:b/>
          <w:bCs/>
          <w:color w:val="2E5496"/>
          <w:sz w:val="22"/>
          <w:szCs w:val="22"/>
        </w:rPr>
        <w:t xml:space="preserve">FC4 — Transition abruptness</w:t>
      </w:r>
    </w:p>
    <w:p>
      <w:pPr>
        <w:spacing w:after="130" w:before="130"/>
        <w:jc w:val="center"/>
      </w:pPr>
      <w:r>
        <w:rPr>
          <w:rFonts w:ascii="Consolas" w:cs="Consolas" w:eastAsia="Consolas" w:hAnsi="Consolas"/>
          <w:b/>
          <w:bCs/>
          <w:sz w:val="22"/>
          <w:szCs w:val="22"/>
        </w:rPr>
        <w:t xml:space="preserve">FC4  =  max over months of | NDVI(month+1) − NDVI(month) |</w:t>
      </w:r>
    </w:p>
    <w:p>
      <w:pPr>
        <w:spacing w:after="120" w:line="276"/>
        <w:jc w:val="both"/>
      </w:pPr>
      <w:r>
        <w:rPr>
          <w:rFonts w:ascii="Calibri" w:cs="Calibri" w:eastAsia="Calibri" w:hAnsi="Calibri"/>
          <w:b w:val="false"/>
          <w:bCs w:val="false"/>
          <w:i w:val="false"/>
          <w:iCs w:val="false"/>
          <w:color w:val="000000"/>
          <w:sz w:val="21"/>
          <w:szCs w:val="21"/>
        </w:rPr>
        <w:t xml:space="preserve">Expressed as a percentile of the stratum distribution. Mechanical operations produce step changes; natural phenology is gradual.</w:t>
      </w:r>
    </w:p>
    <w:p>
      <w:pPr>
        <w:pStyle w:val="Heading3"/>
        <w:spacing w:after="110" w:before="220"/>
      </w:pPr>
      <w:r>
        <w:rPr>
          <w:rFonts w:ascii="Calibri" w:cs="Calibri" w:eastAsia="Calibri" w:hAnsi="Calibri"/>
          <w:b/>
          <w:bCs/>
          <w:color w:val="2E5496"/>
          <w:sz w:val="22"/>
          <w:szCs w:val="22"/>
        </w:rPr>
        <w:t xml:space="preserve">Raising a flag</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6620"/>
      </w:tblGrid>
      <w:tr>
        <w:trPr>
          <w:tblHeader/>
        </w:trPr>
        <w:tc>
          <w:tcPr>
            <w:tcW w:type="dxa" w:w="24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State</w:t>
            </w:r>
          </w:p>
        </w:tc>
        <w:tc>
          <w:tcPr>
            <w:tcW w:type="dxa" w:w="66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Rule</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RAISED</w:t>
            </w:r>
          </w:p>
        </w:tc>
        <w:tc>
          <w:tcPr>
            <w:tcW w:type="dxa" w:w="6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BOTH components exceed the stratum 90th percentile — or, for FC1, fall below the stratum 10th percentile.</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INDETERMINATE</w:t>
            </w:r>
          </w:p>
        </w:tc>
        <w:tc>
          <w:tcPr>
            <w:tcW w:type="dxa" w:w="6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Exactly one component crosses its threshold, or one component is unavailable.</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NOT RAISED</w:t>
            </w:r>
          </w:p>
        </w:tc>
        <w:tc>
          <w:tcPr>
            <w:tcW w:type="dxa" w:w="6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Neither component crosses its threshold.</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UNAVAILABLE</w:t>
            </w:r>
          </w:p>
        </w:tc>
        <w:tc>
          <w:tcPr>
            <w:tcW w:type="dxa" w:w="6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Both components are unavailable. Reported as unavailable, never as NOT RAISED.</w:t>
            </w:r>
          </w:p>
        </w:tc>
      </w:tr>
    </w:tbl>
    <w:p>
      <w:pPr>
        <w:spacing w:after="120"/>
      </w:pPr>
    </w:p>
    <w:p>
      <w:pPr>
        <w:spacing w:after="120" w:line="276"/>
        <w:jc w:val="both"/>
      </w:pPr>
      <w:r>
        <w:rPr>
          <w:rFonts w:ascii="Calibri" w:cs="Calibri" w:eastAsia="Calibri" w:hAnsi="Calibri"/>
          <w:b w:val="false"/>
          <w:bCs w:val="false"/>
          <w:i w:val="false"/>
          <w:iCs w:val="false"/>
          <w:color w:val="000000"/>
          <w:sz w:val="21"/>
          <w:szCs w:val="21"/>
        </w:rPr>
        <w:t xml:space="preserve">The two-component rule exists because each component alone has an innocent explanation — a wet run of years, a naturally sparse stratum — and their coincidence does not.</w:t>
      </w:r>
    </w:p>
    <w:p>
      <w:pPr>
        <w:pStyle w:val="Heading2"/>
        <w:spacing w:after="130" w:before="280"/>
      </w:pPr>
      <w:r>
        <w:rPr>
          <w:rFonts w:ascii="Calibri" w:cs="Calibri" w:eastAsia="Calibri" w:hAnsi="Calibri"/>
          <w:b/>
          <w:bCs/>
          <w:color w:val="2E5496"/>
          <w:sz w:val="25"/>
          <w:szCs w:val="25"/>
        </w:rPr>
        <w:t xml:space="preserve">6.7  Validating the index before you use it</w:t>
      </w:r>
    </w:p>
    <w:p>
      <w:pPr>
        <w:spacing w:after="120" w:line="276"/>
        <w:jc w:val="both"/>
      </w:pPr>
      <w:r>
        <w:rPr>
          <w:rFonts w:ascii="Calibri" w:cs="Calibri" w:eastAsia="Calibri" w:hAnsi="Calibri"/>
          <w:b/>
          <w:bCs/>
          <w:i w:val="false"/>
          <w:iCs w:val="false"/>
          <w:color w:val="000000"/>
          <w:sz w:val="21"/>
          <w:szCs w:val="21"/>
        </w:rPr>
        <w:t xml:space="preserve">Do this before you compute the index on any of your 212 settlements. </w:t>
      </w:r>
      <w:r>
        <w:rPr>
          <w:rFonts w:ascii="Calibri" w:cs="Calibri" w:eastAsia="Calibri" w:hAnsi="Calibri"/>
          <w:b w:val="false"/>
          <w:bCs w:val="false"/>
          <w:i w:val="false"/>
          <w:iCs w:val="false"/>
          <w:color w:val="000000"/>
          <w:sz w:val="21"/>
          <w:szCs w:val="21"/>
        </w:rPr>
        <w:t xml:space="preserve">It is the one sequencing rule this plan insists on.</w:t>
      </w:r>
    </w:p>
    <w:p>
      <w:pPr>
        <w:pStyle w:val="ListParagraph"/>
        <w:numPr>
          <w:ilvl w:val="0"/>
          <w:numId w:val="14"/>
        </w:numPr>
        <w:spacing w:after="80" w:line="276"/>
        <w:jc w:val="both"/>
      </w:pPr>
      <w:r>
        <w:rPr>
          <w:rFonts w:ascii="Calibri" w:cs="Calibri" w:eastAsia="Calibri" w:hAnsi="Calibri"/>
          <w:sz w:val="21"/>
          <w:szCs w:val="21"/>
        </w:rPr>
        <w:t xml:space="preserve">Assemble 40 to 60 landscapes whose character you know independently, spread across your climate groups, in four classes: documented monoculture plantation; documented restoration or long-established agroforestry; intact natural reference land; degraded, eroded or abandoned land.</w:t>
      </w:r>
    </w:p>
    <w:p>
      <w:pPr>
        <w:pStyle w:val="ListParagraph"/>
        <w:numPr>
          <w:ilvl w:val="0"/>
          <w:numId w:val="14"/>
        </w:numPr>
        <w:spacing w:after="80" w:line="276"/>
        <w:jc w:val="both"/>
      </w:pPr>
      <w:r>
        <w:rPr>
          <w:rFonts w:ascii="Calibri" w:cs="Calibri" w:eastAsia="Calibri" w:hAnsi="Calibri"/>
          <w:sz w:val="21"/>
          <w:szCs w:val="21"/>
        </w:rPr>
        <w:t xml:space="preserve">SPLIT THEM 70/30 WITH A RECORDED SEED, stratified by class and climate group. The 70% is the DEVELOPMENT set; the 30% is the HOLD-OUT set. Record the seed in the decisions log.</w:t>
      </w:r>
    </w:p>
    <w:p>
      <w:pPr>
        <w:pStyle w:val="ListParagraph"/>
        <w:numPr>
          <w:ilvl w:val="0"/>
          <w:numId w:val="14"/>
        </w:numPr>
        <w:spacing w:after="80" w:line="276"/>
        <w:jc w:val="both"/>
      </w:pPr>
      <w:r>
        <w:rPr>
          <w:rFonts w:ascii="Calibri" w:cs="Calibri" w:eastAsia="Calibri" w:hAnsi="Calibri"/>
          <w:sz w:val="21"/>
          <w:szCs w:val="21"/>
        </w:rPr>
        <w:t xml:space="preserve">Write down what you EXPECT the index to do for each class before running it.</w:t>
      </w:r>
    </w:p>
    <w:p>
      <w:pPr>
        <w:pStyle w:val="ListParagraph"/>
        <w:numPr>
          <w:ilvl w:val="0"/>
          <w:numId w:val="14"/>
        </w:numPr>
        <w:spacing w:after="80" w:line="276"/>
        <w:jc w:val="both"/>
      </w:pPr>
      <w:r>
        <w:rPr>
          <w:rFonts w:ascii="Calibri" w:cs="Calibri" w:eastAsia="Calibri" w:hAnsi="Calibri"/>
          <w:sz w:val="21"/>
          <w:szCs w:val="21"/>
        </w:rPr>
        <w:t xml:space="preserve">Run the index on the DEVELOPMENT set only. Adjust the specification freely here if it misbehaves — that is what the development set is for.</w:t>
      </w:r>
    </w:p>
    <w:p>
      <w:pPr>
        <w:pStyle w:val="ListParagraph"/>
        <w:numPr>
          <w:ilvl w:val="0"/>
          <w:numId w:val="14"/>
        </w:numPr>
        <w:spacing w:after="80" w:line="276"/>
        <w:jc w:val="both"/>
      </w:pPr>
      <w:r>
        <w:rPr>
          <w:rFonts w:ascii="Calibri" w:cs="Calibri" w:eastAsia="Calibri" w:hAnsi="Calibri"/>
          <w:sz w:val="21"/>
          <w:szCs w:val="21"/>
        </w:rPr>
        <w:t xml:space="preserve">When you are satisfied, run it ONCE on the hold-out set. Report that result whatever it shows, and do not adjust the specification afterwards.</w:t>
      </w:r>
    </w:p>
    <w:p>
      <w:pPr>
        <w:pStyle w:val="ListParagraph"/>
        <w:numPr>
          <w:ilvl w:val="0"/>
          <w:numId w:val="14"/>
        </w:numPr>
        <w:spacing w:after="80" w:line="276"/>
        <w:jc w:val="both"/>
      </w:pPr>
      <w:r>
        <w:rPr>
          <w:rFonts w:ascii="Calibri" w:cs="Calibri" w:eastAsia="Calibri" w:hAnsi="Calibri"/>
          <w:sz w:val="21"/>
          <w:szCs w:val="21"/>
        </w:rPr>
        <w:t xml:space="preserve">THE CRITICAL TEST: the plantation must score BELOW a balanced site of lower raw productivity. If it does not, the geometric mean is not doing its job and the specification needs fixing.</w:t>
      </w:r>
    </w:p>
    <w:p>
      <w:pPr>
        <w:pStyle w:val="ListParagraph"/>
        <w:numPr>
          <w:ilvl w:val="0"/>
          <w:numId w:val="14"/>
        </w:numPr>
        <w:spacing w:after="80" w:line="276"/>
        <w:jc w:val="both"/>
      </w:pPr>
      <w:r>
        <w:rPr>
          <w:rFonts w:ascii="Calibri" w:cs="Calibri" w:eastAsia="Calibri" w:hAnsi="Calibri"/>
          <w:sz w:val="21"/>
          <w:szCs w:val="21"/>
        </w:rPr>
        <w:t xml:space="preserve">Check the class ordering holds within each climate group separately. An index validated only in temperate Europe cannot be claimed to work in the Sahel, and the thesis should say which zones were validated.</w:t>
      </w:r>
    </w:p>
    <w:p>
      <w:pPr>
        <w:pStyle w:val="ListParagraph"/>
        <w:numPr>
          <w:ilvl w:val="0"/>
          <w:numId w:val="14"/>
        </w:numPr>
        <w:spacing w:after="80" w:line="276"/>
        <w:jc w:val="both"/>
      </w:pPr>
      <w:r>
        <w:rPr>
          <w:rFonts w:ascii="Calibri" w:cs="Calibri" w:eastAsia="Calibri" w:hAnsi="Calibri"/>
          <w:sz w:val="21"/>
          <w:szCs w:val="21"/>
        </w:rPr>
        <w:t xml:space="preserve">Fix the specification now if it misbehaves. These landscapes are outside your sample, so adjusting against them cannot bias your comparison — which is exactly why this step comes first.</w:t>
      </w:r>
    </w:p>
    <w:p>
      <w:pPr>
        <w:spacing w:after="60"/>
      </w:pPr>
    </w:p>
    <w:p>
      <w:pPr>
        <w:spacing w:after="120" w:line="276"/>
        <w:jc w:val="both"/>
      </w:pPr>
      <w:r>
        <w:rPr>
          <w:rFonts w:ascii="Calibri" w:cs="Calibri" w:eastAsia="Calibri" w:hAnsi="Calibri"/>
          <w:b/>
          <w:bCs/>
          <w:i w:val="false"/>
          <w:iCs w:val="false"/>
          <w:color w:val="000000"/>
          <w:sz w:val="21"/>
          <w:szCs w:val="21"/>
        </w:rPr>
        <w:t xml:space="preserve">Why the 70/30 split is worth the extra twenty landscapes. </w:t>
      </w:r>
      <w:r>
        <w:rPr>
          <w:rFonts w:ascii="Calibri" w:cs="Calibri" w:eastAsia="Calibri" w:hAnsi="Calibri"/>
          <w:b w:val="false"/>
          <w:bCs w:val="false"/>
          <w:i w:val="false"/>
          <w:iCs w:val="false"/>
          <w:color w:val="000000"/>
          <w:sz w:val="21"/>
          <w:szCs w:val="21"/>
        </w:rPr>
        <w:t xml:space="preserve">Without it, the same landscapes both develop and validate the index, and "you tuned the index until it passed its own test" is a fair objection with no answer. With it, the hold-out result is a genuine out-of-sample check and the objection disappears. The cost is finding twenty more known-answer sites; the gain is a validation claim that survives review.</w:t>
      </w:r>
    </w:p>
    <w:p>
      <w:pPr>
        <w:spacing w:after="120" w:line="276"/>
        <w:jc w:val="both"/>
      </w:pPr>
      <w:r>
        <w:rPr>
          <w:rFonts w:ascii="Calibri" w:cs="Calibri" w:eastAsia="Calibri" w:hAnsi="Calibri"/>
          <w:b w:val="false"/>
          <w:bCs w:val="false"/>
          <w:i w:val="false"/>
          <w:iCs w:val="false"/>
          <w:color w:val="000000"/>
          <w:sz w:val="21"/>
          <w:szCs w:val="21"/>
        </w:rPr>
        <w:t xml:space="preserve">If the hold-out result is materially worse than the development result, say so and report both. An index that orders classes correctly on development landscapes and poorly on hold-out landscapes has been over-fitted, and that is a finding about the instrument you need to know before interpreting anything else.</w:t>
      </w:r>
    </w:p>
    <w:p>
      <w:pPr>
        <w:spacing w:after="60"/>
      </w:pPr>
    </w:p>
    <w:p>
      <w:pPr>
        <w:pStyle w:val="Heading3"/>
        <w:spacing w:after="110" w:before="220"/>
      </w:pPr>
      <w:r>
        <w:rPr>
          <w:rFonts w:ascii="Calibri" w:cs="Calibri" w:eastAsia="Calibri" w:hAnsi="Calibri"/>
          <w:b/>
          <w:bCs/>
          <w:color w:val="2E5496"/>
          <w:sz w:val="22"/>
          <w:szCs w:val="22"/>
        </w:rPr>
        <w:t xml:space="preserve">The redundancy check</w:t>
      </w:r>
    </w:p>
    <w:p>
      <w:pPr>
        <w:spacing w:after="120" w:line="276"/>
        <w:jc w:val="both"/>
      </w:pPr>
      <w:r>
        <w:rPr>
          <w:rFonts w:ascii="Calibri" w:cs="Calibri" w:eastAsia="Calibri" w:hAnsi="Calibri"/>
          <w:b w:val="false"/>
          <w:bCs w:val="false"/>
          <w:i w:val="false"/>
          <w:iCs w:val="false"/>
          <w:color w:val="000000"/>
          <w:sz w:val="21"/>
          <w:szCs w:val="21"/>
        </w:rPr>
        <w:t xml:space="preserve">Run this before the validation, because it is cheaper and can save you validating a specification you are going to change.</w:t>
      </w:r>
    </w:p>
    <w:p>
      <w:pPr>
        <w:pStyle w:val="ListParagraph"/>
        <w:numPr>
          <w:ilvl w:val="0"/>
          <w:numId w:val="15"/>
        </w:numPr>
        <w:spacing w:after="80" w:line="276"/>
        <w:jc w:val="both"/>
      </w:pPr>
      <w:r>
        <w:rPr>
          <w:rFonts w:ascii="Calibri" w:cs="Calibri" w:eastAsia="Calibri" w:hAnsi="Calibri"/>
          <w:sz w:val="21"/>
          <w:szCs w:val="21"/>
        </w:rPr>
        <w:t xml:space="preserve">Compute the correlation matrix among all seventeen rescaled metrics, using CONTROL and REFERENCE sites only — never the settlement contrast. Pay particular attention to VM13 against VM1 and VM2, and to VM14 against VM3 and VM5 — the two metrics added in version 3.1 are the ones most likely to prove redundant, and if either does, drop it and say so.</w:t>
      </w:r>
    </w:p>
    <w:p>
      <w:pPr>
        <w:pStyle w:val="ListParagraph"/>
        <w:numPr>
          <w:ilvl w:val="0"/>
          <w:numId w:val="15"/>
        </w:numPr>
        <w:spacing w:after="80" w:line="276"/>
        <w:jc w:val="both"/>
      </w:pPr>
      <w:r>
        <w:rPr>
          <w:rFonts w:ascii="Calibri" w:cs="Calibri" w:eastAsia="Calibri" w:hAnsi="Calibri"/>
          <w:sz w:val="21"/>
          <w:szCs w:val="21"/>
        </w:rPr>
        <w:t xml:space="preserve">Any two metrics correlating above 0.85: merge them, drop one, or record an explicit justification for keeping both.</w:t>
      </w:r>
    </w:p>
    <w:p>
      <w:pPr>
        <w:pStyle w:val="ListParagraph"/>
        <w:numPr>
          <w:ilvl w:val="0"/>
          <w:numId w:val="15"/>
        </w:numPr>
        <w:spacing w:after="80" w:line="276"/>
        <w:jc w:val="both"/>
      </w:pPr>
      <w:r>
        <w:rPr>
          <w:rFonts w:ascii="Calibri" w:cs="Calibri" w:eastAsia="Calibri" w:hAnsi="Calibri"/>
          <w:sz w:val="21"/>
          <w:szCs w:val="21"/>
        </w:rPr>
        <w:t xml:space="preserve">Any two DIMENSION scores correlating above 0.80: the index has fewer effective dimensions than it claims, and the aggregation needs reconsidering.</w:t>
      </w:r>
    </w:p>
    <w:p>
      <w:pPr>
        <w:spacing w:after="60"/>
      </w:pPr>
    </w:p>
    <w:p>
      <w:pPr>
        <w:spacing w:after="120" w:line="276"/>
        <w:jc w:val="both"/>
      </w:pPr>
      <w:r>
        <w:rPr>
          <w:rFonts w:ascii="Calibri" w:cs="Calibri" w:eastAsia="Calibri" w:hAnsi="Calibri"/>
          <w:b/>
          <w:bCs/>
          <w:i w:val="false"/>
          <w:iCs w:val="false"/>
          <w:color w:val="000000"/>
          <w:sz w:val="21"/>
          <w:szCs w:val="21"/>
        </w:rPr>
        <w:t xml:space="preserve">What this prevents. </w:t>
      </w:r>
      <w:r>
        <w:rPr>
          <w:rFonts w:ascii="Calibri" w:cs="Calibri" w:eastAsia="Calibri" w:hAnsi="Calibri"/>
          <w:b w:val="false"/>
          <w:bCs w:val="false"/>
          <w:i w:val="false"/>
          <w:iCs w:val="false"/>
          <w:color w:val="000000"/>
          <w:sz w:val="21"/>
          <w:szCs w:val="21"/>
        </w:rPr>
        <w:t xml:space="preserve">If productivity is greenness-derived and structure is also substantially greenness-derived, then a site scoring highly on both has demonstrated one thing twice — and the geometric mean, chosen precisely to penalise imbalance, would register a spurious balance. The index would look robust while carrying little more information than its first component.</w:t>
      </w:r>
    </w:p>
    <w:p>
      <w:pPr>
        <w:pStyle w:val="Heading2"/>
        <w:spacing w:after="130" w:before="280"/>
      </w:pPr>
      <w:r>
        <w:rPr>
          <w:rFonts w:ascii="Calibri" w:cs="Calibri" w:eastAsia="Calibri" w:hAnsi="Calibri"/>
          <w:b/>
          <w:bCs/>
          <w:color w:val="2E5496"/>
          <w:sz w:val="25"/>
          <w:szCs w:val="25"/>
        </w:rPr>
        <w:t xml:space="preserve">6.8  The site typology — classifying communities, not just averaging them</w:t>
      </w:r>
    </w:p>
    <w:p>
      <w:pPr>
        <w:spacing w:after="120" w:line="276"/>
        <w:jc w:val="both"/>
      </w:pPr>
      <w:r>
        <w:rPr>
          <w:rFonts w:ascii="Calibri" w:cs="Calibri" w:eastAsia="Calibri" w:hAnsi="Calibri"/>
          <w:b w:val="false"/>
          <w:bCs w:val="false"/>
          <w:i w:val="false"/>
          <w:iCs w:val="false"/>
          <w:color w:val="000000"/>
          <w:sz w:val="21"/>
          <w:szCs w:val="21"/>
        </w:rPr>
        <w:t xml:space="preserve">Everything described so far produces ONE answer for the whole sample: settlements differ from their controls by this much, on average. That is the study’s primary finding, and it is not enough. These 212 communities will differ from each other enormously, and an average that hides that difference throws away the most interesting result in the dataset.</w:t>
      </w:r>
    </w:p>
    <w:p>
      <w:pPr>
        <w:spacing w:after="120" w:line="276"/>
        <w:jc w:val="both"/>
      </w:pPr>
      <w:r>
        <w:rPr>
          <w:rFonts w:ascii="Calibri" w:cs="Calibri" w:eastAsia="Calibri" w:hAnsi="Calibri"/>
          <w:b/>
          <w:bCs/>
          <w:i w:val="false"/>
          <w:iCs w:val="false"/>
          <w:color w:val="000000"/>
          <w:sz w:val="21"/>
          <w:szCs w:val="21"/>
        </w:rPr>
        <w:t xml:space="preserve">But be careful about WHAT can be said of one community. </w:t>
      </w:r>
      <w:r>
        <w:rPr>
          <w:rFonts w:ascii="Calibri" w:cs="Calibri" w:eastAsia="Calibri" w:hAnsi="Calibri"/>
          <w:b w:val="false"/>
          <w:bCs w:val="false"/>
          <w:i w:val="false"/>
          <w:iCs w:val="false"/>
          <w:color w:val="000000"/>
          <w:sz w:val="21"/>
          <w:szCs w:val="21"/>
        </w:rPr>
        <w:t xml:space="preserve">The pooled estimate has a standard error of about 0.079 within-quartet standard deviations. A single community’s estimate has a standard error of 1.155 — FIFTEEN TIMES larger. For one community to be called "above its controls" at conventional confidence, its difference must be about ten times the pooled detectable difference.</w:t>
      </w:r>
    </w:p>
    <w:p>
      <w:pPr>
        <w:spacing w:after="120" w:line="276"/>
        <w:jc w:val="both"/>
      </w:pPr>
      <w:r>
        <w:rPr>
          <w:rFonts w:ascii="Calibri" w:cs="Calibri" w:eastAsia="Calibri" w:hAnsi="Calibri"/>
          <w:b w:val="false"/>
          <w:bCs w:val="false"/>
          <w:i w:val="false"/>
          <w:iCs w:val="false"/>
          <w:color w:val="000000"/>
          <w:sz w:val="21"/>
          <w:szCs w:val="21"/>
        </w:rPr>
        <w:t xml:space="preserve">The consequence is direct: a RANKING of communities would be mostly noise. A TYPOLOGY would not, because flag states rest on a two-component rule and dimension profiles are multivariate — both far more stable than a single number. So the study classifies by KIND, and reports rank only with its interval attached.</w:t>
      </w:r>
    </w:p>
    <w:p>
      <w:pPr>
        <w:pStyle w:val="Heading3"/>
        <w:spacing w:after="110" w:before="220"/>
      </w:pPr>
      <w:r>
        <w:rPr>
          <w:rFonts w:ascii="Calibri" w:cs="Calibri" w:eastAsia="Calibri" w:hAnsi="Calibri"/>
          <w:b/>
          <w:bCs/>
          <w:color w:val="2E5496"/>
          <w:sz w:val="22"/>
          <w:szCs w:val="22"/>
        </w:rPr>
        <w:t xml:space="preserve">Three axes</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000"/>
        <w:gridCol w:w="2800"/>
        <w:gridCol w:w="4220"/>
      </w:tblGrid>
      <w:tr>
        <w:trPr>
          <w:tblHeader/>
        </w:trPr>
        <w:tc>
          <w:tcPr>
            <w:tcW w:type="dxa" w:w="20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Axis</w:t>
            </w:r>
          </w:p>
        </w:tc>
        <w:tc>
          <w:tcPr>
            <w:tcW w:type="dxa" w:w="28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Values</w:t>
            </w:r>
          </w:p>
        </w:tc>
        <w:tc>
          <w:tcPr>
            <w:tcW w:type="dxa" w:w="42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Where it comes from</w:t>
            </w:r>
          </w:p>
        </w:tc>
      </w:tr>
      <w:tr>
        <w:tc>
          <w:tcPr>
            <w:tcW w:type="dxa" w:w="20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Direction</w:t>
            </w:r>
          </w:p>
        </w:tc>
        <w:tc>
          <w:tcPr>
            <w:tcW w:type="dxa" w:w="2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above / INDETERMINATE / below its matched controls</w:t>
            </w:r>
          </w:p>
        </w:tc>
        <w:tc>
          <w:tcPr>
            <w:tcW w:type="dxa" w:w="42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shrinkage-adjusted per-site difference in VCI (§8.13). The middle class is the largest and it means "we cannot tell" — never "similar to controls".</w:t>
            </w:r>
          </w:p>
        </w:tc>
      </w:tr>
      <w:tr>
        <w:tc>
          <w:tcPr>
            <w:tcW w:type="dxa" w:w="20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Maintenance mode</w:t>
            </w:r>
          </w:p>
        </w:tc>
        <w:tc>
          <w:tcPr>
            <w:tcW w:type="dxa" w:w="2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unflagged / water-subsidised / disturbance / both / unavailable</w:t>
            </w:r>
          </w:p>
        </w:tc>
        <w:tc>
          <w:tcPr>
            <w:tcW w:type="dxa" w:w="42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two flags of §6.6, under the two-component rule.</w:t>
            </w:r>
          </w:p>
        </w:tc>
      </w:tr>
      <w:tr>
        <w:tc>
          <w:tcPr>
            <w:tcW w:type="dxa" w:w="20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Dominant dimension</w:t>
            </w:r>
          </w:p>
        </w:tc>
        <w:tc>
          <w:tcPr>
            <w:tcW w:type="dxa" w:w="2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productivity / persistence / structure / configuration / balanced</w:t>
            </w:r>
          </w:p>
        </w:tc>
        <w:tc>
          <w:tcPr>
            <w:tcW w:type="dxa" w:w="42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Whichever of the four contributes most to the geometric mean relative to its stratum distribution. "Balanced" where no dimension leads by a declared margin.</w:t>
            </w:r>
          </w:p>
        </w:tc>
      </w:tr>
    </w:tbl>
    <w:p>
      <w:pPr>
        <w:spacing w:after="120"/>
      </w:pPr>
    </w:p>
    <w:p>
      <w:pPr>
        <w:spacing w:after="120" w:line="276"/>
        <w:jc w:val="both"/>
      </w:pPr>
      <w:r>
        <w:rPr>
          <w:rFonts w:ascii="Calibri" w:cs="Calibri" w:eastAsia="Calibri" w:hAnsi="Calibri"/>
          <w:b w:val="false"/>
          <w:bCs w:val="false"/>
          <w:i w:val="false"/>
          <w:iCs w:val="false"/>
          <w:color w:val="000000"/>
          <w:sz w:val="21"/>
          <w:szCs w:val="21"/>
        </w:rPr>
        <w:t xml:space="preserve">A community therefore carries a label such as "above-controls, unflagged, persistence-led" or "indeterminate, water-subsidised, productivity-led". Every component traces back to a measured quantity, and the label can be decomposed into the values that produced it.</w:t>
      </w:r>
    </w:p>
    <w:p>
      <w:pPr>
        <w:pStyle w:val="Heading3"/>
        <w:spacing w:after="110" w:before="220"/>
      </w:pPr>
      <w:r>
        <w:rPr>
          <w:rFonts w:ascii="Calibri" w:cs="Calibri" w:eastAsia="Calibri" w:hAnsi="Calibri"/>
          <w:b/>
          <w:bCs/>
          <w:color w:val="2E5496"/>
          <w:sz w:val="22"/>
          <w:szCs w:val="22"/>
        </w:rPr>
        <w:t xml:space="preserve">Four rules</w:t>
      </w:r>
    </w:p>
    <w:p>
      <w:pPr>
        <w:pStyle w:val="ListParagraph"/>
        <w:numPr>
          <w:ilvl w:val="0"/>
          <w:numId w:val="16"/>
        </w:numPr>
        <w:spacing w:after="80" w:line="276"/>
        <w:jc w:val="both"/>
      </w:pPr>
      <w:r>
        <w:rPr>
          <w:rFonts w:ascii="Calibri" w:cs="Calibri" w:eastAsia="Calibri" w:hAnsi="Calibri"/>
          <w:sz w:val="21"/>
          <w:szCs w:val="21"/>
        </w:rPr>
        <w:t xml:space="preserve">RULE-BASED, NOT CLUSTERED. Fix the thresholds in advance and apply them mechanically. Clustering 212 communities on correlated features is unstable — small changes in the feature set or the cluster count give different groupings — and a grouping discovered after the scores exist is a specification search at the level of the classification. A rule also travels: a reader can apply it to a community your study never examined, which a cluster label cannot.</w:t>
      </w:r>
    </w:p>
    <w:p>
      <w:pPr>
        <w:pStyle w:val="ListParagraph"/>
        <w:numPr>
          <w:ilvl w:val="0"/>
          <w:numId w:val="16"/>
        </w:numPr>
        <w:spacing w:after="80" w:line="276"/>
        <w:jc w:val="both"/>
      </w:pPr>
      <w:r>
        <w:rPr>
          <w:rFonts w:ascii="Calibri" w:cs="Calibri" w:eastAsia="Calibri" w:hAnsi="Calibri"/>
          <w:sz w:val="21"/>
          <w:szCs w:val="21"/>
        </w:rPr>
        <w:t xml:space="preserve">EXPLORATORY. The typology carries no hypothesis and no test. It is described, not inferred from. It never moves into the confirmatory family.</w:t>
      </w:r>
    </w:p>
    <w:p>
      <w:pPr>
        <w:pStyle w:val="ListParagraph"/>
        <w:numPr>
          <w:ilvl w:val="0"/>
          <w:numId w:val="16"/>
        </w:numPr>
        <w:spacing w:after="80" w:line="276"/>
        <w:jc w:val="both"/>
      </w:pPr>
      <w:r>
        <w:rPr>
          <w:rFonts w:ascii="Calibri" w:cs="Calibri" w:eastAsia="Calibri" w:hAnsi="Calibri"/>
          <w:sz w:val="21"/>
          <w:szCs w:val="21"/>
        </w:rPr>
        <w:t xml:space="preserve">REPORT THE DISTRIBUTION, NOT A LEAGUE TABLE. How many communities fall in each combination, and how that distribution differs from the controls. Naming and ranking identifiable communities is where this becomes an ethical problem rather than a statistical one.</w:t>
      </w:r>
    </w:p>
    <w:p>
      <w:pPr>
        <w:pStyle w:val="ListParagraph"/>
        <w:numPr>
          <w:ilvl w:val="0"/>
          <w:numId w:val="16"/>
        </w:numPr>
        <w:spacing w:after="80" w:line="276"/>
        <w:jc w:val="both"/>
      </w:pPr>
      <w:r>
        <w:rPr>
          <w:rFonts w:ascii="Calibri" w:cs="Calibri" w:eastAsia="Calibri" w:hAnsi="Calibri"/>
          <w:sz w:val="21"/>
          <w:szCs w:val="21"/>
        </w:rPr>
        <w:t xml:space="preserve">THE MIDDLE CLASS IS "INDETERMINATE". Never merge it with "similar to controls". One is an absence of evidence, the other a positive finding of similarity, and at site level this study can rarely support the second.</w:t>
      </w:r>
    </w:p>
    <w:p>
      <w:pPr>
        <w:spacing w:after="60"/>
      </w:pPr>
    </w:p>
    <w:p>
      <w:pPr>
        <w:spacing w:after="120" w:line="276"/>
        <w:jc w:val="both"/>
      </w:pPr>
      <w:r>
        <w:rPr>
          <w:rFonts w:ascii="Calibri" w:cs="Calibri" w:eastAsia="Calibri" w:hAnsi="Calibri"/>
          <w:b/>
          <w:bCs/>
          <w:i w:val="false"/>
          <w:iCs w:val="false"/>
          <w:color w:val="000000"/>
          <w:sz w:val="21"/>
          <w:szCs w:val="21"/>
        </w:rPr>
        <w:t xml:space="preserve">Why this is worth the half-day it costs. </w:t>
      </w:r>
      <w:r>
        <w:rPr>
          <w:rFonts w:ascii="Calibri" w:cs="Calibri" w:eastAsia="Calibri" w:hAnsi="Calibri"/>
          <w:b w:val="false"/>
          <w:bCs w:val="false"/>
          <w:i w:val="false"/>
          <w:iCs w:val="false"/>
          <w:color w:val="000000"/>
          <w:sz w:val="21"/>
          <w:szCs w:val="21"/>
        </w:rPr>
        <w:t xml:space="preserve">"Intentional settlements score 0.04 higher than their controls" is one sentence. "Thirty-one per cent are above their controls and unflagged, twelve per cent are above but water-subsidised, and forty-four per cent are indeterminate" is a paragraph that tells a reader what the movement actually looks like — and it is the result a practitioner can use.</w:t>
      </w:r>
    </w:p>
    <w:p>
      <w:r>
        <w:br w:type="page"/>
      </w:r>
    </w:p>
    <w:p>
      <w:pPr>
        <w:pStyle w:val="Heading1"/>
        <w:pBdr>
          <w:bottom w:val="single" w:color="1F3864" w:sz="12" w:space="6"/>
        </w:pBdr>
        <w:spacing w:after="200" w:before="400"/>
      </w:pPr>
      <w:r>
        <w:rPr>
          <w:rFonts w:ascii="Calibri" w:cs="Calibri" w:eastAsia="Calibri" w:hAnsi="Calibri"/>
          <w:b/>
          <w:bCs/>
          <w:color w:val="1F3864"/>
          <w:sz w:val="32"/>
          <w:szCs w:val="32"/>
        </w:rPr>
        <w:t xml:space="preserve">Part 7  ·  The eight execution stages</w:t>
      </w:r>
    </w:p>
    <w:p>
      <w:pPr>
        <w:spacing w:after="120" w:line="276"/>
        <w:jc w:val="both"/>
      </w:pPr>
      <w:r>
        <w:rPr>
          <w:rFonts w:ascii="Calibri" w:cs="Calibri" w:eastAsia="Calibri" w:hAnsi="Calibri"/>
          <w:b w:val="false"/>
          <w:bCs w:val="false"/>
          <w:i w:val="false"/>
          <w:iCs w:val="false"/>
          <w:color w:val="000000"/>
          <w:sz w:val="21"/>
          <w:szCs w:val="21"/>
        </w:rPr>
        <w:t xml:space="preserve">Work through these in order. Each produces something the next needs. Stages 1 and 3 can run in parallel; everything else is sequential.</w:t>
      </w:r>
    </w:p>
    <w:p>
      <w:pPr>
        <w:pStyle w:val="Heading2"/>
        <w:spacing w:after="130" w:before="280"/>
      </w:pPr>
      <w:r>
        <w:rPr>
          <w:rFonts w:ascii="Calibri" w:cs="Calibri" w:eastAsia="Calibri" w:hAnsi="Calibri"/>
          <w:b/>
          <w:bCs/>
          <w:color w:val="2E5496"/>
          <w:sz w:val="25"/>
          <w:szCs w:val="25"/>
        </w:rPr>
        <w:t xml:space="preserve">Stage 1  ·  Documentary coding</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7420"/>
      </w:tblGrid>
      <w:tr>
        <w:trPr>
          <w:tblHeader/>
        </w:trPr>
        <w:tc>
          <w:tcPr>
            <w:tcW w:type="dxa" w:w="16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c>
          <w:tcPr>
            <w:tcW w:type="dxa" w:w="74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r>
      <w:tr>
        <w:tc>
          <w:tcPr>
            <w:tcW w:type="dxa" w:w="16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BEFORE YOU START</w:t>
            </w:r>
          </w:p>
        </w:tc>
        <w:tc>
          <w:tcPr>
            <w:tcW w:type="dxa" w:w="7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Stage 1 workbook. Complete the blank columns in the codebook sheet, fill the claim-to-signature mapping, and enter a date in the freeze-control cell.</w:t>
            </w:r>
          </w:p>
        </w:tc>
      </w:tr>
      <w:tr>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WHAT YOU DO</w:t>
            </w:r>
          </w:p>
        </w:tc>
        <w:tc>
          <w:tcPr>
            <w:tcW w:type="dxa" w:w="7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Code all 212 communities from published sources. Record the four candidate dates — founding, land acquisition, first residence, and the one that matters, ENVIRONMENTAL INTERVENTION ONSET — with an uncertainty band on the last. Code the THIRTEEN practice codes at five levels each, population, MANAGED AREA, the five activity channels and the resulting tier, and current status. Managed area now corroborates the drawn polygon (§7.1a) and is a fallback predictor in analysis A9 — so code it as carefully as the onset date, and record which sites you could not code at all. THEN draw a polygon at every site, by the procedure in §7.1a below, and use the documentary figure to corroborate it. Re-code a random 20% yourself after at least four weeks and report agreement per variable.</w:t>
            </w:r>
          </w:p>
        </w:tc>
      </w:tr>
      <w:tr>
        <w:tc>
          <w:tcPr>
            <w:tcW w:type="dxa" w:w="16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WHAT YOU PRODUCE</w:t>
            </w:r>
          </w:p>
        </w:tc>
        <w:tc>
          <w:tcPr>
            <w:tcW w:type="dxa" w:w="7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completed workbook: community attributes, practice matrix, practice evidence, onset register, reliability report, disagreement log, source index.</w:t>
            </w:r>
          </w:p>
        </w:tc>
      </w:tr>
      <w:tr>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DONE WHEN</w:t>
            </w:r>
          </w:p>
        </w:tc>
        <w:tc>
          <w:tcPr>
            <w:tcW w:type="dxa" w:w="7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All 212 rows complete; agreement reported per variable; every coded value traceable to a source; A POLYGON DRAWN AND EXPORTED for every settlement with its area, confidence and reference-circle assignment; polygons translated onto all 636 controls; the 20 per cent redraw done and its overlap reported (T8c); and drawn-versus-stated area compared (T8b).</w:t>
            </w:r>
          </w:p>
        </w:tc>
      </w:tr>
    </w:tbl>
    <w:p>
      <w:pPr>
        <w:spacing w:after="120"/>
      </w:pPr>
    </w:p>
    <w:p>
      <w:pPr>
        <w:pStyle w:val="Heading2"/>
        <w:spacing w:after="130" w:before="280"/>
      </w:pPr>
      <w:r>
        <w:rPr>
          <w:rFonts w:ascii="Calibri" w:cs="Calibri" w:eastAsia="Calibri" w:hAnsi="Calibri"/>
          <w:b/>
          <w:bCs/>
          <w:color w:val="2E5496"/>
          <w:sz w:val="25"/>
          <w:szCs w:val="25"/>
        </w:rPr>
        <w:t xml:space="preserve">7.1a  Drawing the polygons — the most important manual step in the study</w:t>
      </w:r>
    </w:p>
    <w:p>
      <w:pPr>
        <w:spacing w:after="120" w:line="276"/>
        <w:jc w:val="both"/>
      </w:pPr>
      <w:r>
        <w:rPr>
          <w:rFonts w:ascii="Calibri" w:cs="Calibri" w:eastAsia="Calibri" w:hAnsi="Calibri"/>
          <w:b w:val="false"/>
          <w:bCs w:val="false"/>
          <w:i w:val="false"/>
          <w:iCs w:val="false"/>
          <w:color w:val="000000"/>
          <w:sz w:val="21"/>
          <w:szCs w:val="21"/>
        </w:rPr>
        <w:t xml:space="preserve">This runs inside Stage 1, at every one of the 212 settlements and every cohort settlement. It takes ten to twenty minutes a site once you have the routine — roughly 60 to 90 hours across the sample — and it is what the whole measurement rests on.</w:t>
      </w:r>
    </w:p>
    <w:p>
      <w:pPr>
        <w:spacing w:after="120" w:line="276"/>
        <w:jc w:val="both"/>
      </w:pPr>
      <w:r>
        <w:rPr>
          <w:rFonts w:ascii="Calibri" w:cs="Calibri" w:eastAsia="Calibri" w:hAnsi="Calibri"/>
          <w:b/>
          <w:bCs/>
          <w:i w:val="false"/>
          <w:iCs w:val="false"/>
          <w:color w:val="000000"/>
          <w:sz w:val="21"/>
          <w:szCs w:val="21"/>
        </w:rPr>
        <w:t xml:space="preserve">What you produce. </w:t>
      </w:r>
      <w:r>
        <w:rPr>
          <w:rFonts w:ascii="Calibri" w:cs="Calibri" w:eastAsia="Calibri" w:hAnsi="Calibri"/>
          <w:b w:val="false"/>
          <w:bCs w:val="false"/>
          <w:i w:val="false"/>
          <w:iCs w:val="false"/>
          <w:color w:val="000000"/>
          <w:sz w:val="21"/>
          <w:szCs w:val="21"/>
        </w:rPr>
        <w:t xml:space="preserve">One polygon per settlement, saved as a shapefile or GeoJSON, with a site_id matching your register. Its outline becomes the measurement area, its area picks the reference circle, and a copy of it — slid onto each control village — becomes the control geometry. You draw once and use it four times.</w:t>
      </w:r>
    </w:p>
    <w:p>
      <w:pPr>
        <w:pStyle w:val="Heading3"/>
        <w:spacing w:after="110" w:before="220"/>
      </w:pPr>
      <w:r>
        <w:rPr>
          <w:rFonts w:ascii="Calibri" w:cs="Calibri" w:eastAsia="Calibri" w:hAnsi="Calibri"/>
          <w:b/>
          <w:bCs/>
          <w:color w:val="2E5496"/>
          <w:sz w:val="22"/>
          <w:szCs w:val="22"/>
        </w:rPr>
        <w:t xml:space="preserve">The procedure</w:t>
      </w:r>
    </w:p>
    <w:p>
      <w:pPr>
        <w:pStyle w:val="ListParagraph"/>
        <w:numPr>
          <w:ilvl w:val="0"/>
          <w:numId w:val="17"/>
        </w:numPr>
        <w:spacing w:after="80" w:line="276"/>
        <w:jc w:val="both"/>
      </w:pPr>
      <w:r>
        <w:rPr>
          <w:rFonts w:ascii="Calibri" w:cs="Calibri" w:eastAsia="Calibri" w:hAnsi="Calibri"/>
          <w:sz w:val="21"/>
          <w:szCs w:val="21"/>
        </w:rPr>
        <w:t xml:space="preserve">Open the site at its recorded coordinates in high-resolution imagery — Google Earth, Bing Maps or Esri World Imagery. Prefer imagery captured inside the study window; record the date and the source.</w:t>
      </w:r>
    </w:p>
    <w:p>
      <w:pPr>
        <w:pStyle w:val="ListParagraph"/>
        <w:numPr>
          <w:ilvl w:val="0"/>
          <w:numId w:val="17"/>
        </w:numPr>
        <w:spacing w:after="80" w:line="276"/>
        <w:jc w:val="both"/>
      </w:pPr>
      <w:r>
        <w:rPr>
          <w:rFonts w:ascii="Calibri" w:cs="Calibri" w:eastAsia="Calibri" w:hAnsi="Calibri"/>
          <w:sz w:val="21"/>
          <w:szCs w:val="21"/>
        </w:rPr>
        <w:t xml:space="preserve">Find the community centre: the cluster of buildings. This is the point your measurement zone will be drawn around, so confirm it matches the coordinates you hold.</w:t>
      </w:r>
    </w:p>
    <w:p>
      <w:pPr>
        <w:pStyle w:val="ListParagraph"/>
        <w:numPr>
          <w:ilvl w:val="0"/>
          <w:numId w:val="17"/>
        </w:numPr>
        <w:spacing w:after="80" w:line="276"/>
        <w:jc w:val="both"/>
      </w:pPr>
      <w:r>
        <w:rPr>
          <w:rFonts w:ascii="Calibri" w:cs="Calibri" w:eastAsia="Calibri" w:hAnsi="Calibri"/>
          <w:sz w:val="21"/>
          <w:szCs w:val="21"/>
        </w:rPr>
        <w:t xml:space="preserve">DRAW A POLYGON AROUND THE CONTIGUOUS MANAGED GROUND. Managed ground is anything showing deliberate human management — cultivated fields, orchards, planted blocks, garden beds, terraces, ponds, tracks, polytunnels, managed clearings, buildings and yards. Follow the real outline: if the land is a strip, draw a strip; if it wraps around a road, draw that shape.</w:t>
      </w:r>
    </w:p>
    <w:p>
      <w:pPr>
        <w:pStyle w:val="ListParagraph"/>
        <w:numPr>
          <w:ilvl w:val="0"/>
          <w:numId w:val="17"/>
        </w:numPr>
        <w:spacing w:after="80" w:line="276"/>
        <w:jc w:val="both"/>
      </w:pPr>
      <w:r>
        <w:rPr>
          <w:rFonts w:ascii="Calibri" w:cs="Calibri" w:eastAsia="Calibri" w:hAnsi="Calibri"/>
          <w:sz w:val="21"/>
          <w:szCs w:val="21"/>
        </w:rPr>
        <w:t xml:space="preserve">TRACE FROM STRUCTURE, NOT FROM COLOUR. Use field edges, tracks, fences, walls, hedgerows, terrace lines and abrupt changes in field pattern or texture. Do NOT use greenness. A ploughed brown field is exactly as managed as a green one, and a lush unmanaged thicket is not managed at all. This single rule is what keeps the measurement honest.</w:t>
      </w:r>
    </w:p>
    <w:p>
      <w:pPr>
        <w:pStyle w:val="ListParagraph"/>
        <w:numPr>
          <w:ilvl w:val="0"/>
          <w:numId w:val="17"/>
        </w:numPr>
        <w:spacing w:after="80" w:line="276"/>
        <w:jc w:val="both"/>
      </w:pPr>
      <w:r>
        <w:rPr>
          <w:rFonts w:ascii="Calibri" w:cs="Calibri" w:eastAsia="Calibri" w:hAnsi="Calibri"/>
          <w:sz w:val="21"/>
          <w:szCs w:val="21"/>
        </w:rPr>
        <w:t xml:space="preserve">Include bare and fallow ground that carries field structure. Exclude unmanaged surroundings: natural woodland with no visible management, open rangeland with no boundary structure, and neighbouring farms whose field pattern is clearly different.</w:t>
      </w:r>
    </w:p>
    <w:p>
      <w:pPr>
        <w:pStyle w:val="ListParagraph"/>
        <w:numPr>
          <w:ilvl w:val="0"/>
          <w:numId w:val="17"/>
        </w:numPr>
        <w:spacing w:after="80" w:line="276"/>
        <w:jc w:val="both"/>
      </w:pPr>
      <w:r>
        <w:rPr>
          <w:rFonts w:ascii="Calibri" w:cs="Calibri" w:eastAsia="Calibri" w:hAnsi="Calibri"/>
          <w:sz w:val="21"/>
          <w:szCs w:val="21"/>
        </w:rPr>
        <w:t xml:space="preserve">Exclude detached parcels more than 500 m from the centre. They cannot fall inside any measurement zone, so they are irrelevant to the class even though they belong to the community.</w:t>
      </w:r>
    </w:p>
    <w:p>
      <w:pPr>
        <w:pStyle w:val="ListParagraph"/>
        <w:numPr>
          <w:ilvl w:val="0"/>
          <w:numId w:val="17"/>
        </w:numPr>
        <w:spacing w:after="80" w:line="276"/>
        <w:jc w:val="both"/>
      </w:pPr>
      <w:r>
        <w:rPr>
          <w:rFonts w:ascii="Calibri" w:cs="Calibri" w:eastAsia="Calibri" w:hAnsi="Calibri"/>
          <w:sz w:val="21"/>
          <w:szCs w:val="21"/>
        </w:rPr>
        <w:t xml:space="preserve">Measure the enclosed area in hectares with the imagery tool’s own area function.</w:t>
      </w:r>
    </w:p>
    <w:p>
      <w:pPr>
        <w:pStyle w:val="ListParagraph"/>
        <w:numPr>
          <w:ilvl w:val="0"/>
          <w:numId w:val="17"/>
        </w:numPr>
        <w:spacing w:after="80" w:line="276"/>
        <w:jc w:val="both"/>
      </w:pPr>
      <w:r>
        <w:rPr>
          <w:rFonts w:ascii="Calibri" w:cs="Calibri" w:eastAsia="Calibri" w:hAnsi="Calibri"/>
          <w:sz w:val="21"/>
          <w:szCs w:val="21"/>
        </w:rPr>
        <w:t xml:space="preserve">Record polygon_area_ha, the imagery date, the imagery source, and a drawing confidence of clear / moderate / poor. Export the polygon itself.</w:t>
      </w:r>
    </w:p>
    <w:p>
      <w:pPr>
        <w:pStyle w:val="ListParagraph"/>
        <w:numPr>
          <w:ilvl w:val="0"/>
          <w:numId w:val="17"/>
        </w:numPr>
        <w:spacing w:after="80" w:line="276"/>
        <w:jc w:val="both"/>
      </w:pPr>
      <w:r>
        <w:rPr>
          <w:rFonts w:ascii="Calibri" w:cs="Calibri" w:eastAsia="Calibri" w:hAnsi="Calibri"/>
          <w:sz w:val="21"/>
          <w:szCs w:val="21"/>
        </w:rPr>
        <w:t xml:space="preserve">MINIMUM SIZE 1.0 HECTARE. A polygon below that leaves roughly 56 usable pixels after built-up masking, which is near the 30-pixel floor and too fragile. Where the managed land is genuinely smaller, use a 75 m circle instead and flag the site.</w:t>
      </w:r>
    </w:p>
    <w:p>
      <w:pPr>
        <w:pStyle w:val="ListParagraph"/>
        <w:numPr>
          <w:ilvl w:val="0"/>
          <w:numId w:val="17"/>
        </w:numPr>
        <w:spacing w:after="80" w:line="276"/>
        <w:jc w:val="both"/>
      </w:pPr>
      <w:r>
        <w:rPr>
          <w:rFonts w:ascii="Calibri" w:cs="Calibri" w:eastAsia="Calibri" w:hAnsi="Calibri"/>
          <w:sz w:val="21"/>
          <w:szCs w:val="21"/>
        </w:rPr>
        <w:t xml:space="preserve">TRANSLATE the finished polygon onto each of the three control villages: slide it until its centre sits on the control centre. Do NOT resize, reshape or rotate it. Save each copy with the control’s site_id.</w:t>
      </w:r>
    </w:p>
    <w:p>
      <w:pPr>
        <w:spacing w:after="60"/>
      </w:pPr>
    </w:p>
    <w:p>
      <w:pPr>
        <w:pStyle w:val="Heading3"/>
        <w:spacing w:after="110" w:before="220"/>
      </w:pPr>
      <w:r>
        <w:rPr>
          <w:rFonts w:ascii="Calibri" w:cs="Calibri" w:eastAsia="Calibri" w:hAnsi="Calibri"/>
          <w:b/>
          <w:bCs/>
          <w:color w:val="2E5496"/>
          <w:sz w:val="22"/>
          <w:szCs w:val="22"/>
        </w:rPr>
        <w:t xml:space="preserve">Four rules that keep it blind</w:t>
      </w:r>
    </w:p>
    <w:p>
      <w:pPr>
        <w:pStyle w:val="ListParagraph"/>
        <w:numPr>
          <w:ilvl w:val="0"/>
          <w:numId w:val="3"/>
        </w:numPr>
        <w:spacing w:after="80" w:line="276"/>
        <w:jc w:val="both"/>
      </w:pPr>
      <w:r>
        <w:rPr>
          <w:rFonts w:ascii="Calibri" w:cs="Calibri" w:eastAsia="Calibri" w:hAnsi="Calibri"/>
          <w:b/>
          <w:bCs/>
          <w:i w:val="false"/>
          <w:iCs w:val="false"/>
          <w:sz w:val="21"/>
          <w:szCs w:val="21"/>
        </w:rPr>
        <w:t xml:space="preserve">Draw from structure, never colour. </w:t>
      </w:r>
      <w:r>
        <w:rPr>
          <w:rFonts w:ascii="Calibri" w:cs="Calibri" w:eastAsia="Calibri" w:hAnsi="Calibri"/>
          <w:b w:val="false"/>
          <w:bCs w:val="false"/>
          <w:i w:val="false"/>
          <w:iCs w:val="false"/>
          <w:sz w:val="21"/>
          <w:szCs w:val="21"/>
        </w:rPr>
        <w:t xml:space="preserve">Rule 4 above is the single most important instruction in this section, and it matters MORE with polygons than it did with size classes. A size class only sorted a site into one of five bins, where an error was forgiving. A polygon defines the exact ground you measure. If you include the green corners and leave out the brown ones, that goes straight into your result — and it does NOT cancel, because the translated control polygon was not drawn with the same unconscious preference. It is one-directional and it inflates.</w:t>
      </w:r>
    </w:p>
    <w:p>
      <w:pPr>
        <w:pStyle w:val="ListParagraph"/>
        <w:numPr>
          <w:ilvl w:val="0"/>
          <w:numId w:val="3"/>
        </w:numPr>
        <w:spacing w:after="80" w:line="276"/>
        <w:jc w:val="both"/>
      </w:pPr>
      <w:r>
        <w:rPr>
          <w:rFonts w:ascii="Calibri" w:cs="Calibri" w:eastAsia="Calibri" w:hAnsi="Calibri"/>
          <w:b/>
          <w:bCs/>
          <w:i w:val="false"/>
          <w:iCs w:val="false"/>
          <w:sz w:val="21"/>
          <w:szCs w:val="21"/>
        </w:rPr>
        <w:t xml:space="preserve">Do all of it before Stage 6. </w:t>
      </w:r>
      <w:r>
        <w:rPr>
          <w:rFonts w:ascii="Calibri" w:cs="Calibri" w:eastAsia="Calibri" w:hAnsi="Calibri"/>
          <w:b w:val="false"/>
          <w:bCs w:val="false"/>
          <w:i w:val="false"/>
          <w:iCs w:val="false"/>
          <w:sz w:val="21"/>
          <w:szCs w:val="21"/>
        </w:rPr>
        <w:t xml:space="preserve">No index value exists yet at Stage 1, so this is automatic — but do not be tempted to revisit a class after seeing a result. The class is frozen with the rest of the Stage 1 dataset.</w:t>
      </w:r>
    </w:p>
    <w:p>
      <w:pPr>
        <w:pStyle w:val="ListParagraph"/>
        <w:numPr>
          <w:ilvl w:val="0"/>
          <w:numId w:val="3"/>
        </w:numPr>
        <w:spacing w:after="80" w:line="276"/>
        <w:jc w:val="both"/>
      </w:pPr>
      <w:r>
        <w:rPr>
          <w:rFonts w:ascii="Calibri" w:cs="Calibri" w:eastAsia="Calibri" w:hAnsi="Calibri"/>
          <w:b/>
          <w:bCs/>
          <w:i w:val="false"/>
          <w:iCs w:val="false"/>
          <w:sz w:val="21"/>
          <w:szCs w:val="21"/>
        </w:rPr>
        <w:t xml:space="preserve">REDRAW a random 20 per cent after at least four weeks, </w:t>
      </w:r>
      <w:r>
        <w:rPr>
          <w:rFonts w:ascii="Calibri" w:cs="Calibri" w:eastAsia="Calibri" w:hAnsi="Calibri"/>
          <w:b w:val="false"/>
          <w:bCs w:val="false"/>
          <w:i w:val="false"/>
          <w:iCs w:val="false"/>
          <w:sz w:val="21"/>
          <w:szCs w:val="21"/>
        </w:rPr>
        <w:t xml:space="preserve">without looking at your first polygons, and report the OVERLAP between the two drawings — the shared area divided by the combined area, which runs from 0 to 1. Report the mean and how many fall below 0.80. This is the reliability statistic for the polygon and the methods chapter needs it.</w:t>
      </w:r>
    </w:p>
    <w:p>
      <w:pPr>
        <w:pStyle w:val="ListParagraph"/>
        <w:numPr>
          <w:ilvl w:val="0"/>
          <w:numId w:val="3"/>
        </w:numPr>
        <w:spacing w:after="80" w:line="276"/>
        <w:jc w:val="both"/>
      </w:pPr>
      <w:r>
        <w:rPr>
          <w:rFonts w:ascii="Calibri" w:cs="Calibri" w:eastAsia="Calibri" w:hAnsi="Calibri"/>
          <w:b/>
          <w:bCs/>
          <w:i w:val="false"/>
          <w:iCs w:val="false"/>
          <w:sz w:val="21"/>
          <w:szCs w:val="21"/>
        </w:rPr>
        <w:t xml:space="preserve">Never draw a control’s own polygon. </w:t>
      </w:r>
      <w:r>
        <w:rPr>
          <w:rFonts w:ascii="Calibri" w:cs="Calibri" w:eastAsia="Calibri" w:hAnsi="Calibri"/>
          <w:b w:val="false"/>
          <w:bCs w:val="false"/>
          <w:i w:val="false"/>
          <w:iCs w:val="false"/>
          <w:sz w:val="21"/>
          <w:szCs w:val="21"/>
        </w:rPr>
        <w:t xml:space="preserve">Controls receive their settlement’s shape, translated. Drawing a control its own outline would let you choose its land as well as the settlement’s, which is precisely the comparison this step must stay clear of.</w:t>
      </w:r>
    </w:p>
    <w:p>
      <w:pPr>
        <w:pStyle w:val="ListParagraph"/>
        <w:numPr>
          <w:ilvl w:val="0"/>
          <w:numId w:val="3"/>
        </w:numPr>
        <w:spacing w:after="80" w:line="276"/>
        <w:jc w:val="both"/>
      </w:pPr>
      <w:r>
        <w:rPr>
          <w:rFonts w:ascii="Calibri" w:cs="Calibri" w:eastAsia="Calibri" w:hAnsi="Calibri"/>
          <w:b/>
          <w:bCs/>
          <w:i w:val="false"/>
          <w:iCs w:val="false"/>
          <w:sz w:val="21"/>
          <w:szCs w:val="21"/>
        </w:rPr>
        <w:t xml:space="preserve">SC1 is your check. </w:t>
      </w:r>
      <w:r>
        <w:rPr>
          <w:rFonts w:ascii="Calibri" w:cs="Calibri" w:eastAsia="Calibri" w:hAnsi="Calibri"/>
          <w:b w:val="false"/>
          <w:bCs w:val="false"/>
          <w:i w:val="false"/>
          <w:iCs w:val="false"/>
          <w:sz w:val="21"/>
          <w:szCs w:val="21"/>
        </w:rPr>
        <w:t xml:space="preserve">It re-runs the whole analysis over size-matched CIRCLES instead of polygons. If the two agree, your drawing introduced no bias. If they differ, the polygon version is probably more accurate — but you will be able to explain why, rather than holding one number you cannot check.</w:t>
      </w:r>
    </w:p>
    <w:p>
      <w:pPr>
        <w:spacing w:after="60"/>
      </w:pPr>
    </w:p>
    <w:p>
      <w:pPr>
        <w:pStyle w:val="Heading3"/>
        <w:spacing w:after="110" w:before="220"/>
      </w:pPr>
      <w:r>
        <w:rPr>
          <w:rFonts w:ascii="Calibri" w:cs="Calibri" w:eastAsia="Calibri" w:hAnsi="Calibri"/>
          <w:b/>
          <w:bCs/>
          <w:color w:val="2E5496"/>
          <w:sz w:val="22"/>
          <w:szCs w:val="22"/>
        </w:rPr>
        <w:t xml:space="preserve">Corroborating with the documentary figure</w:t>
      </w:r>
    </w:p>
    <w:p>
      <w:pPr>
        <w:spacing w:after="120" w:line="276"/>
        <w:jc w:val="both"/>
      </w:pPr>
      <w:r>
        <w:rPr>
          <w:rFonts w:ascii="Calibri" w:cs="Calibri" w:eastAsia="Calibri" w:hAnsi="Calibri"/>
          <w:b w:val="false"/>
          <w:bCs w:val="false"/>
          <w:i w:val="false"/>
          <w:iCs w:val="false"/>
          <w:color w:val="000000"/>
          <w:sz w:val="21"/>
          <w:szCs w:val="21"/>
        </w:rPr>
        <w:t xml:space="preserve">You now have two numbers per settlement: the documentary managed area from Stage 1 coding, and the polygon area you just drew. The POLYGON DEFINES THE GEOMETRY in every case — it is a direct measurement of the ground. The documentary figure is the check.</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1300"/>
        <w:gridCol w:w="3400"/>
        <w:gridCol w:w="4320"/>
      </w:tblGrid>
      <w:tr>
        <w:trPr>
          <w:tblHeader/>
        </w:trPr>
        <w:tc>
          <w:tcPr>
            <w:tcW w:type="dxa" w:w="13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Tier</w:t>
            </w:r>
          </w:p>
        </w:tc>
        <w:tc>
          <w:tcPr>
            <w:tcW w:type="dxa" w:w="34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Condition</w:t>
            </w:r>
          </w:p>
        </w:tc>
        <w:tc>
          <w:tcPr>
            <w:tcW w:type="dxa" w:w="43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Action</w:t>
            </w:r>
          </w:p>
        </w:tc>
      </w:tr>
      <w:tr>
        <w:tc>
          <w:tcPr>
            <w:tcW w:type="dxa" w:w="13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w:t>
            </w:r>
          </w:p>
        </w:tc>
        <w:tc>
          <w:tcPr>
            <w:tcW w:type="dxa" w:w="3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Documentary area within 30% of the polygon area</w:t>
            </w:r>
          </w:p>
        </w:tc>
        <w:tc>
          <w:tcPr>
            <w:tcW w:type="dxa" w:w="43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two agree. Record size_class_confidence = A. Sensitivity check SC16 restricts to these.</w:t>
            </w:r>
          </w:p>
        </w:tc>
      </w:tr>
      <w:tr>
        <w:tc>
          <w:tcPr>
            <w:tcW w:type="dxa" w:w="13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w:t>
            </w:r>
          </w:p>
        </w:tc>
        <w:tc>
          <w:tcPr>
            <w:tcW w:type="dxa" w:w="3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No documentary figure, OR the two differ by 30 to 100%</w:t>
            </w:r>
          </w:p>
        </w:tc>
        <w:tc>
          <w:tcPr>
            <w:tcW w:type="dxa" w:w="43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polygon stands. Record confidence = B and keep both numbers.</w:t>
            </w:r>
          </w:p>
        </w:tc>
      </w:tr>
      <w:tr>
        <w:tc>
          <w:tcPr>
            <w:tcW w:type="dxa" w:w="13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w:t>
            </w:r>
          </w:p>
        </w:tc>
        <w:tc>
          <w:tcPr>
            <w:tcW w:type="dxa" w:w="3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They differ by more than a factor of two</w:t>
            </w:r>
          </w:p>
        </w:tc>
        <w:tc>
          <w:tcPr>
            <w:tcW w:type="dxa" w:w="43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polygon still stands, but investigate and record what you found. Confidence = C.</w:t>
            </w:r>
          </w:p>
        </w:tc>
      </w:tr>
    </w:tbl>
    <w:p>
      <w:pPr>
        <w:spacing w:after="120"/>
      </w:pPr>
    </w:p>
    <w:p>
      <w:pPr>
        <w:spacing w:after="120" w:line="276"/>
        <w:jc w:val="both"/>
      </w:pPr>
      <w:r>
        <w:rPr>
          <w:rFonts w:ascii="Calibri" w:cs="Calibri" w:eastAsia="Calibri" w:hAnsi="Calibri"/>
          <w:b/>
          <w:bCs/>
          <w:i w:val="false"/>
          <w:iCs w:val="false"/>
          <w:color w:val="000000"/>
          <w:sz w:val="21"/>
          <w:szCs w:val="21"/>
        </w:rPr>
        <w:t xml:space="preserve">When they differ by more than a factor of two, look for one thing first. </w:t>
      </w:r>
      <w:r>
        <w:rPr>
          <w:rFonts w:ascii="Calibri" w:cs="Calibri" w:eastAsia="Calibri" w:hAnsi="Calibri"/>
          <w:b w:val="false"/>
          <w:bCs w:val="false"/>
          <w:i w:val="false"/>
          <w:iCs w:val="false"/>
          <w:color w:val="000000"/>
          <w:sz w:val="21"/>
          <w:szCs w:val="21"/>
        </w:rPr>
        <w:t xml:space="preserve">The commonest cause by far is that the documentary figure is the TOTAL HOLDING rather than the worked area — a community stating "our 200 hectares" while visibly working twelve. Your polygon will usually show this at once. Record what you found in the decisions log; it is also a finding about how communities describe their own land.</w:t>
      </w:r>
    </w:p>
    <w:p>
      <w:pPr>
        <w:spacing w:after="120" w:line="276"/>
        <w:jc w:val="both"/>
      </w:pPr>
      <w:r>
        <w:rPr>
          <w:rFonts w:ascii="Calibri" w:cs="Calibri" w:eastAsia="Calibri" w:hAnsi="Calibri"/>
          <w:b w:val="false"/>
          <w:bCs w:val="false"/>
          <w:i w:val="false"/>
          <w:iCs w:val="false"/>
          <w:color w:val="000000"/>
          <w:sz w:val="21"/>
          <w:szCs w:val="21"/>
        </w:rPr>
        <w:t xml:space="preserve">Report the agreement between drawn and stated area across the whole sample as table T8b, and the polygon redraw overlap as table T8c. Nobody has published either comparison for this population, and together they are a small methodological contribution in their own right.</w:t>
      </w:r>
    </w:p>
    <w:p>
      <w:pPr>
        <w:spacing w:after="140"/>
      </w:pPr>
    </w:p>
    <w:p>
      <w:pPr>
        <w:pStyle w:val="Heading2"/>
        <w:spacing w:after="130" w:before="280"/>
      </w:pPr>
      <w:r>
        <w:rPr>
          <w:rFonts w:ascii="Calibri" w:cs="Calibri" w:eastAsia="Calibri" w:hAnsi="Calibri"/>
          <w:b/>
          <w:bCs/>
          <w:color w:val="2E5496"/>
          <w:sz w:val="25"/>
          <w:szCs w:val="25"/>
        </w:rPr>
        <w:t xml:space="preserve">Stage 2  ·  Complete the control sample</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7420"/>
      </w:tblGrid>
      <w:tr>
        <w:trPr>
          <w:tblHeader/>
        </w:trPr>
        <w:tc>
          <w:tcPr>
            <w:tcW w:type="dxa" w:w="16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c>
          <w:tcPr>
            <w:tcW w:type="dxa" w:w="74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r>
      <w:tr>
        <w:tc>
          <w:tcPr>
            <w:tcW w:type="dxa" w:w="16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BEFORE YOU START</w:t>
            </w:r>
          </w:p>
        </w:tc>
        <w:tc>
          <w:tcPr>
            <w:tcW w:type="dxa" w:w="7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Stage 1 complete (population comes from it). Your existing 212 conventional-rural controls.</w:t>
            </w:r>
          </w:p>
        </w:tc>
      </w:tr>
      <w:tr>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WHAT YOU DO</w:t>
            </w:r>
          </w:p>
        </w:tc>
        <w:tc>
          <w:tcPr>
            <w:tcW w:type="dxa" w:w="7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Add two more conventional-rural controls per settlement. Match on: identical Köppen main group; same biome; elevation within 300 m; same terrain class; DISTANCE TO PERMANENT SURFACE WATER within a declared tolerance; 5–50 km distant (see the ladder below); same country; classified rural; tree cover within 15 percentage points; population within a factor of three; not inside a protected area; no documented external restoration programme. Rank surviving candidates on a weighted standardised distance and take the three closest. EVERY CONTROL RECEIVES ITS SETTLEMENT’S POLYGON, translated so the shape’s centre sits on the control village — same size, same shape, no rotation. A comparison is only meaningful if both sides are measured over the same amount AND the same shape of land. Where nothing good exists, take the best available and FLAG it rather than dropping the settlement — silently dropping settlements without good local comparators would bias the sample toward regions rich in similar villages. THE DISTANCE LADDER, worked down in order, stopping at the first step that yields three controls: (1) three controls at 5–50 km meeting every criterion, which is Tier 1; (2) fewer than three, so extend the search to 50–100 km and take the CLOSEST qualifying candidates rather than the best-scoring ones, which is Tier 2; (3) still fewer than three, so accept TWO controls at 5–50 km rather than a third from further out, Tier 2 and flagged; (4) fewer than two, so take the best available with a flagged tolerance breach, Tier 3; (5) NEVER drop the settlement. Record control_distance_km for every control. Step 2 comes before step 3 deliberately: three controls with one far gives a variance of 1.37 sigma-squared while two nearby controls give 1.50, so the far third control is worth about nine per cent. And every criterion other than distance stays exactly as strict at every step — distance is relaxed precisely because the covariates do the real work. NOTE that water-proximity matching, restored in version 3.2, tightens the criteria slightly and will push a few more quartets into Tier 2 or Tier 3. That is the intended trade: water access is the main alternative explanation for any drought-resistance difference (SC14), and it is far better held constant than argued about afterwards.</w:t>
            </w:r>
          </w:p>
        </w:tc>
      </w:tr>
      <w:tr>
        <w:tc>
          <w:tcPr>
            <w:tcW w:type="dxa" w:w="16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WHAT YOU PRODUCE</w:t>
            </w:r>
          </w:p>
        </w:tc>
        <w:tc>
          <w:tcPr>
            <w:tcW w:type="dxa" w:w="7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quartet register: 212 settlements × 3 controls = 848 study sites, each carrying its match-quality grade AND a polygon — drawn at the settlement, translated at the controls. Plus a Love plot (figure F2a) and the three-tier grading below.</w:t>
            </w:r>
          </w:p>
        </w:tc>
      </w:tr>
      <w:tr>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DONE WHEN</w:t>
            </w:r>
          </w:p>
        </w:tc>
        <w:tc>
          <w:tcPr>
            <w:tcW w:type="dxa" w:w="7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Every settlement has three controls; the balance table and Love plot are produced; every quartet carries a match-quality tier; no covariate shows a standardised difference above 0.25 without being reported as imbalanced.</w:t>
            </w:r>
          </w:p>
        </w:tc>
      </w:tr>
    </w:tbl>
    <w:p>
      <w:pPr>
        <w:spacing w:after="120"/>
      </w:pPr>
    </w:p>
    <w:p>
      <w:pPr>
        <w:pStyle w:val="Heading3"/>
        <w:spacing w:after="110" w:before="220"/>
      </w:pPr>
      <w:r>
        <w:rPr>
          <w:rFonts w:ascii="Calibri" w:cs="Calibri" w:eastAsia="Calibri" w:hAnsi="Calibri"/>
          <w:b/>
          <w:bCs/>
          <w:color w:val="2E5496"/>
          <w:sz w:val="22"/>
          <w:szCs w:val="22"/>
        </w:rPr>
        <w:t xml:space="preserve">Three-tier match quality — grade every quartet</w:t>
      </w:r>
    </w:p>
    <w:p>
      <w:pPr>
        <w:spacing w:after="120" w:line="276"/>
        <w:jc w:val="both"/>
      </w:pPr>
      <w:r>
        <w:rPr>
          <w:rFonts w:ascii="Calibri" w:cs="Calibri" w:eastAsia="Calibri" w:hAnsi="Calibri"/>
          <w:b w:val="false"/>
          <w:bCs w:val="false"/>
          <w:i w:val="false"/>
          <w:iCs w:val="false"/>
          <w:color w:val="000000"/>
          <w:sz w:val="21"/>
          <w:szCs w:val="21"/>
        </w:rPr>
        <w:t xml:space="preserve">Version 2.0 flagged poor matches but did not grade them. Grading costs nothing and turns match quality from a caveat into a testable variable.</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1200"/>
        <w:gridCol w:w="3000"/>
        <w:gridCol w:w="4820"/>
      </w:tblGrid>
      <w:tr>
        <w:trPr>
          <w:tblHeader/>
        </w:trPr>
        <w:tc>
          <w:tcPr>
            <w:tcW w:type="dxa" w:w="12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Tier</w:t>
            </w:r>
          </w:p>
        </w:tc>
        <w:tc>
          <w:tcPr>
            <w:tcW w:type="dxa" w:w="30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Definition</w:t>
            </w:r>
          </w:p>
        </w:tc>
        <w:tc>
          <w:tcPr>
            <w:tcW w:type="dxa" w:w="48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Use</w:t>
            </w:r>
          </w:p>
        </w:tc>
      </w:tr>
      <w:tr>
        <w:tc>
          <w:tcPr>
            <w:tcW w:type="dxa" w:w="1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TIER 1 — close</w:t>
            </w:r>
          </w:p>
        </w:tc>
        <w:tc>
          <w:tcPr>
            <w:tcW w:type="dxa" w:w="30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Every continuous covariate within its declared tolerance, ALL THREE CONTROLS WITHIN 50 KM, and the weighted standardised distance below the declared acceptance threshold</w:t>
            </w:r>
          </w:p>
        </w:tc>
        <w:tc>
          <w:tcPr>
            <w:tcW w:type="dxa" w:w="4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core sample. Sensitivity check SC5 restricts to these, which is also how the distance ladder is tested.</w:t>
            </w:r>
          </w:p>
        </w:tc>
      </w:tr>
      <w:tr>
        <w:tc>
          <w:tcPr>
            <w:tcW w:type="dxa" w:w="1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TIER 2 — adequate</w:t>
            </w:r>
          </w:p>
        </w:tc>
        <w:tc>
          <w:tcPr>
            <w:tcW w:type="dxa" w:w="30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At most one covariate outside tolerance, OR one or more controls between 50 and 100 km, OR only two controls; weighted distance within 1.5× the threshold</w:t>
            </w:r>
          </w:p>
        </w:tc>
        <w:tc>
          <w:tcPr>
            <w:tcW w:type="dxa" w:w="4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Retained in the primary analysis, flagged. Report which of the three reasons applies.</w:t>
            </w:r>
          </w:p>
        </w:tc>
      </w:tr>
      <w:tr>
        <w:tc>
          <w:tcPr>
            <w:tcW w:type="dxa" w:w="1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TIER 3 — best available</w:t>
            </w:r>
          </w:p>
        </w:tc>
        <w:tc>
          <w:tcPr>
            <w:tcW w:type="dxa" w:w="30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Distance above 1.5× the threshold; the settlement was kept rather than dropped because no better candidate existed</w:t>
            </w:r>
          </w:p>
        </w:tc>
        <w:tc>
          <w:tcPr>
            <w:tcW w:type="dxa" w:w="4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Retained and flagged. Report how many, and where they are — they cluster in regions with few comparable villages.</w:t>
            </w:r>
          </w:p>
        </w:tc>
      </w:tr>
    </w:tbl>
    <w:p>
      <w:pPr>
        <w:spacing w:after="120"/>
      </w:pPr>
    </w:p>
    <w:p>
      <w:pPr>
        <w:spacing w:after="120" w:line="276"/>
        <w:jc w:val="both"/>
      </w:pPr>
      <w:r>
        <w:rPr>
          <w:rFonts w:ascii="Calibri" w:cs="Calibri" w:eastAsia="Calibri" w:hAnsi="Calibri"/>
          <w:b/>
          <w:bCs/>
          <w:i w:val="false"/>
          <w:iCs w:val="false"/>
          <w:color w:val="000000"/>
          <w:sz w:val="21"/>
          <w:szCs w:val="21"/>
        </w:rPr>
        <w:t xml:space="preserve">The Love plot is the single most persuasive figure in a matched design. </w:t>
      </w:r>
      <w:r>
        <w:rPr>
          <w:rFonts w:ascii="Calibri" w:cs="Calibri" w:eastAsia="Calibri" w:hAnsi="Calibri"/>
          <w:b w:val="false"/>
          <w:bCs w:val="false"/>
          <w:i w:val="false"/>
          <w:iCs w:val="false"/>
          <w:color w:val="000000"/>
          <w:sz w:val="21"/>
          <w:szCs w:val="21"/>
        </w:rPr>
        <w:t xml:space="preserve">Plot the standardised mean difference for every covariate, before and after matching, on one horizontal axis with reference lines at 0.10 and 0.25. A reader sees in two seconds whether the matching worked. A balance table conveys the same information and almost nobody reads it.</w:t>
      </w:r>
    </w:p>
    <w:p>
      <w:pPr>
        <w:spacing w:after="120"/>
      </w:pPr>
    </w:p>
    <w:p>
      <w:pPr>
        <w:pStyle w:val="Heading2"/>
        <w:spacing w:after="130" w:before="280"/>
      </w:pPr>
      <w:r>
        <w:rPr>
          <w:rFonts w:ascii="Calibri" w:cs="Calibri" w:eastAsia="Calibri" w:hAnsi="Calibri"/>
          <w:b/>
          <w:bCs/>
          <w:color w:val="2E5496"/>
          <w:sz w:val="25"/>
          <w:szCs w:val="25"/>
        </w:rPr>
        <w:t xml:space="preserve">Stage 3  ·  Draw the three reference pools</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7420"/>
      </w:tblGrid>
      <w:tr>
        <w:trPr>
          <w:tblHeader/>
        </w:trPr>
        <w:tc>
          <w:tcPr>
            <w:tcW w:type="dxa" w:w="16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c>
          <w:tcPr>
            <w:tcW w:type="dxa" w:w="74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r>
      <w:tr>
        <w:tc>
          <w:tcPr>
            <w:tcW w:type="dxa" w:w="16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BEFORE YOU START</w:t>
            </w:r>
          </w:p>
        </w:tc>
        <w:tc>
          <w:tcPr>
            <w:tcW w:type="dxa" w:w="7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Nothing. This is independent of Stages 1 and 2 and should run alongside them.</w:t>
            </w:r>
          </w:p>
        </w:tc>
      </w:tr>
      <w:tr>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WHAT YOU DO</w:t>
            </w:r>
          </w:p>
        </w:tc>
        <w:tc>
          <w:tcPr>
            <w:tcW w:type="dxa" w:w="7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Draw random points across the global land surface with a RECORDED seed. Filter to the three pools using the criteria in §6.2. Add your existing 212 natural and 212 semi-urban sites to the first two pools. Split the semi-urban pool two-thirds / one-third with a second recorded seed. Target roughly 600 natural, 450 semi-urban and 300 productive, spread so that every stratum containing study sites has at least 30 sites of each relevant pool.</w:t>
            </w:r>
          </w:p>
        </w:tc>
      </w:tr>
      <w:tr>
        <w:tc>
          <w:tcPr>
            <w:tcW w:type="dxa" w:w="16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WHAT YOU PRODUCE</w:t>
            </w:r>
          </w:p>
        </w:tc>
        <w:tc>
          <w:tcPr>
            <w:tcW w:type="dxa" w:w="7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reference register with both seeds recorded and the pool membership of every site. Every reference site will be extracted at FIVE radii — 75, 110, 150, 210 and 300 m — so that each study site can be rescaled against a reference distribution computed on a unit close to its own polygon area (§6.2).</w:t>
            </w:r>
          </w:p>
        </w:tc>
      </w:tr>
      <w:tr>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DONE WHEN</w:t>
            </w:r>
          </w:p>
        </w:tc>
        <w:tc>
          <w:tcPr>
            <w:tcW w:type="dxa" w:w="7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Every stratum containing study sites has at least 30 natural and 30 productive reference sites at every radius it needs, or is explicitly marked as pooled to a coarser rung.</w:t>
            </w:r>
          </w:p>
        </w:tc>
      </w:tr>
    </w:tbl>
    <w:p>
      <w:pPr>
        <w:spacing w:after="120"/>
      </w:pPr>
    </w:p>
    <w:p>
      <w:pPr>
        <w:pStyle w:val="Heading2"/>
        <w:spacing w:after="130" w:before="280"/>
      </w:pPr>
      <w:r>
        <w:rPr>
          <w:rFonts w:ascii="Calibri" w:cs="Calibri" w:eastAsia="Calibri" w:hAnsi="Calibri"/>
          <w:b/>
          <w:bCs/>
          <w:color w:val="2E5496"/>
          <w:sz w:val="25"/>
          <w:szCs w:val="25"/>
        </w:rPr>
        <w:t xml:space="preserve">Stage 3b  ·  Assemble the longitudinal cohort</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7420"/>
      </w:tblGrid>
      <w:tr>
        <w:trPr>
          <w:tblHeader/>
        </w:trPr>
        <w:tc>
          <w:tcPr>
            <w:tcW w:type="dxa" w:w="16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c>
          <w:tcPr>
            <w:tcW w:type="dxa" w:w="74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r>
      <w:tr>
        <w:tc>
          <w:tcPr>
            <w:tcW w:type="dxa" w:w="16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BEFORE YOU START</w:t>
            </w:r>
          </w:p>
        </w:tc>
        <w:tc>
          <w:tcPr>
            <w:tcW w:type="dxa" w:w="7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Stage 1 coding under way, so that onset years are available. Decision on whether to proceed (see §11.3, decision D4).</w:t>
            </w:r>
          </w:p>
        </w:tc>
      </w:tr>
      <w:tr>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WHAT YOU DO</w:t>
            </w:r>
          </w:p>
        </w:tc>
        <w:tc>
          <w:tcPr>
            <w:tcW w:type="dxa" w:w="7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Enumerate communities whose environmental intervention onset falls in 2020 or 2021 — the CORE cohort. Communities with onset in 2019 may be added as an EXTENSION (§8.10). By the same methods used for the 212. Target 60–70 in the core. For each, record whether the onset is a FIRST intervention or a MAJOR NEW PROJECT at an established community, and either restrict to the first or report the two groups separately. Match three conventional-rural controls to each by the identical Stage 2 rules. Verify centroids visually as for the main sample.</w:t>
            </w:r>
          </w:p>
        </w:tc>
      </w:tr>
      <w:tr>
        <w:tc>
          <w:tcPr>
            <w:tcW w:type="dxa" w:w="16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WHAT YOU PRODUCE</w:t>
            </w:r>
          </w:p>
        </w:tc>
        <w:tc>
          <w:tcPr>
            <w:tcW w:type="dxa" w:w="7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cohort register: ~65 settlements × 3 controls = ~260 sites, each with its onset year, onset confidence tier, first-or-major classification, match-quality tier, and its core-or-extension status.</w:t>
            </w:r>
          </w:p>
        </w:tc>
      </w:tr>
      <w:tr>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DONE WHEN</w:t>
            </w:r>
          </w:p>
        </w:tc>
        <w:tc>
          <w:tcPr>
            <w:tcW w:type="dxa" w:w="7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At least 50 cohort settlements with onset confidence tier A or B. BELOW 40, STOP AND DROP THE COMPONENT — an underpowered longitudinal test sitting beside the main result does more harm than leaving it out (§11.3).</w:t>
            </w:r>
          </w:p>
        </w:tc>
      </w:tr>
    </w:tbl>
    <w:p>
      <w:pPr>
        <w:spacing w:after="120"/>
      </w:pPr>
    </w:p>
    <w:p>
      <w:pPr>
        <w:pStyle w:val="Heading2"/>
        <w:spacing w:after="130" w:before="280"/>
      </w:pPr>
      <w:r>
        <w:rPr>
          <w:rFonts w:ascii="Calibri" w:cs="Calibri" w:eastAsia="Calibri" w:hAnsi="Calibri"/>
          <w:b/>
          <w:bCs/>
          <w:color w:val="2E5496"/>
          <w:sz w:val="25"/>
          <w:szCs w:val="25"/>
        </w:rPr>
        <w:t xml:space="preserve">Stage 4  ·  Earth Engine extraction</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7420"/>
      </w:tblGrid>
      <w:tr>
        <w:trPr>
          <w:tblHeader/>
        </w:trPr>
        <w:tc>
          <w:tcPr>
            <w:tcW w:type="dxa" w:w="16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c>
          <w:tcPr>
            <w:tcW w:type="dxa" w:w="74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r>
      <w:tr>
        <w:tc>
          <w:tcPr>
            <w:tcW w:type="dxa" w:w="16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BEFORE YOU START</w:t>
            </w:r>
          </w:p>
        </w:tc>
        <w:tc>
          <w:tcPr>
            <w:tcW w:type="dxa" w:w="7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Stages 2, 3 and 3b complete, and your polygon asset uploaded to Earth Engine with site_ids matching the register. Part 4 open beside you.</w:t>
            </w:r>
          </w:p>
        </w:tc>
      </w:tr>
      <w:tr>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WHAT YOU DO</w:t>
            </w:r>
          </w:p>
        </w:tc>
        <w:tc>
          <w:tcPr>
            <w:tcW w:type="dxa" w:w="7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THREE exports, not one. Export 1: the 848 study sites over 2019–2025, each over its POLYGON plus the five rings plus the common 150 m circle. Export 2: the ~260 cohort sites over 2017–2025, same geometry. Export 3: the 1,350 reference sites over 2019–2025 at ALL FIVE radii and no rings. Running them separately is what prevents a table in which some sites silently carry two extra years or the wrong zone radius. For every site, extract the five spectral indices as monthly composites across seven vegetation years, over the primary zone and the five rings. Apply cloud masking, water masking and topographic correction. Extract land-cover probabilities, canopy height, terrain and rainfall. Write BOTH masked and unmasked versions of every zone summary. Chunk the export by year and site block.</w:t>
            </w:r>
          </w:p>
        </w:tc>
      </w:tr>
      <w:tr>
        <w:tc>
          <w:tcPr>
            <w:tcW w:type="dxa" w:w="16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WHAT YOU PRODUCE</w:t>
            </w:r>
          </w:p>
        </w:tc>
        <w:tc>
          <w:tcPr>
            <w:tcW w:type="dxa" w:w="7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Four tables: annual, static, climate and disturbance (§4.4). About 59,000 rows in the annual table.</w:t>
            </w:r>
          </w:p>
        </w:tc>
      </w:tr>
      <w:tr>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DONE WHEN</w:t>
            </w:r>
          </w:p>
        </w:tc>
        <w:tc>
          <w:tcPr>
            <w:tcW w:type="dxa" w:w="7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Every site has data for every year, or the absence has a recorded reason. The row count matches the arithmetic expectation of 105,182.</w:t>
            </w:r>
          </w:p>
        </w:tc>
      </w:tr>
    </w:tbl>
    <w:p>
      <w:pPr>
        <w:spacing w:after="120"/>
      </w:pPr>
    </w:p>
    <w:p>
      <w:pPr>
        <w:pStyle w:val="Heading2"/>
        <w:spacing w:after="130" w:before="280"/>
      </w:pPr>
      <w:r>
        <w:rPr>
          <w:rFonts w:ascii="Calibri" w:cs="Calibri" w:eastAsia="Calibri" w:hAnsi="Calibri"/>
          <w:b/>
          <w:bCs/>
          <w:color w:val="2E5496"/>
          <w:sz w:val="25"/>
          <w:szCs w:val="25"/>
        </w:rPr>
        <w:t xml:space="preserve">Stage 5  ·  Data preparation</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7420"/>
      </w:tblGrid>
      <w:tr>
        <w:trPr>
          <w:tblHeader/>
        </w:trPr>
        <w:tc>
          <w:tcPr>
            <w:tcW w:type="dxa" w:w="16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c>
          <w:tcPr>
            <w:tcW w:type="dxa" w:w="74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r>
      <w:tr>
        <w:tc>
          <w:tcPr>
            <w:tcW w:type="dxa" w:w="16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BEFORE YOU START</w:t>
            </w:r>
          </w:p>
        </w:tc>
        <w:tc>
          <w:tcPr>
            <w:tcW w:type="dxa" w:w="7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Stage 4 output, the Stage 1 workbook, the Stage 2 quartet register.</w:t>
            </w:r>
          </w:p>
        </w:tc>
      </w:tr>
      <w:tr>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WHAT YOU DO</w:t>
            </w:r>
          </w:p>
        </w:tc>
        <w:tc>
          <w:tcPr>
            <w:tcW w:type="dxa" w:w="7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Run steps DP1 to DP12 of Part 5 in order: masking, correction, compositing, vegetation-year alignment, annual metrics, quality screening, panel assembly, the six integrity checks, outlier screening, missing-data rules, then freeze the table.</w:t>
            </w:r>
          </w:p>
        </w:tc>
      </w:tr>
      <w:tr>
        <w:tc>
          <w:tcPr>
            <w:tcW w:type="dxa" w:w="16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WHAT YOU PRODUCE</w:t>
            </w:r>
          </w:p>
        </w:tc>
        <w:tc>
          <w:tcPr>
            <w:tcW w:type="dxa" w:w="7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One frozen, versioned analysis table, plus a short assembly report recording the six integrity checks and the outlier resolutions.</w:t>
            </w:r>
          </w:p>
        </w:tc>
      </w:tr>
      <w:tr>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DONE WHEN</w:t>
            </w:r>
          </w:p>
        </w:tc>
        <w:tc>
          <w:tcPr>
            <w:tcW w:type="dxa" w:w="7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All six integrity checks pass. If a row count changed at any join, stop and find out why before going further.</w:t>
            </w:r>
          </w:p>
        </w:tc>
      </w:tr>
    </w:tbl>
    <w:p>
      <w:pPr>
        <w:spacing w:after="120"/>
      </w:pPr>
    </w:p>
    <w:p>
      <w:pPr>
        <w:pStyle w:val="Heading2"/>
        <w:spacing w:after="130" w:before="280"/>
      </w:pPr>
      <w:r>
        <w:rPr>
          <w:rFonts w:ascii="Calibri" w:cs="Calibri" w:eastAsia="Calibri" w:hAnsi="Calibri"/>
          <w:b/>
          <w:bCs/>
          <w:color w:val="2E5496"/>
          <w:sz w:val="25"/>
          <w:szCs w:val="25"/>
        </w:rPr>
        <w:t xml:space="preserve">Stage 6  ·  Build and validate the index</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7420"/>
      </w:tblGrid>
      <w:tr>
        <w:trPr>
          <w:tblHeader/>
        </w:trPr>
        <w:tc>
          <w:tcPr>
            <w:tcW w:type="dxa" w:w="16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c>
          <w:tcPr>
            <w:tcW w:type="dxa" w:w="74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r>
      <w:tr>
        <w:tc>
          <w:tcPr>
            <w:tcW w:type="dxa" w:w="16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BEFORE YOU START</w:t>
            </w:r>
          </w:p>
        </w:tc>
        <w:tc>
          <w:tcPr>
            <w:tcW w:type="dxa" w:w="7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frozen analysis table from Stage 5.</w:t>
            </w:r>
          </w:p>
        </w:tc>
      </w:tr>
      <w:tr>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WHAT YOU DO</w:t>
            </w:r>
          </w:p>
        </w:tc>
        <w:tc>
          <w:tcPr>
            <w:tcW w:type="dxa" w:w="7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Compute reference levels per stratum for each metric from the appropriate pool (§6.2). Rescale every metric, inverting the two that need it. Run the redundancy check on controls and reference sites. Aggregate into the four dimension scores, then VCI, PCI and MDS. Compute the two flags. THEN validate on the 40–60 known-answer landscapes, using the 70/30 split of §6.7, before touching your settlements.</w:t>
            </w:r>
          </w:p>
        </w:tc>
      </w:tr>
      <w:tr>
        <w:tc>
          <w:tcPr>
            <w:tcW w:type="dxa" w:w="16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WHAT YOU PRODUCE</w:t>
            </w:r>
          </w:p>
        </w:tc>
        <w:tc>
          <w:tcPr>
            <w:tcW w:type="dxa" w:w="7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Rescaled metrics, dimension scores, VCI, PCI, MDS, LCC and both flags for every site. Plus a validation table, the redundancy matrix, and the typology thresholds of §6.8 fixed in advance.</w:t>
            </w:r>
          </w:p>
        </w:tc>
      </w:tr>
      <w:tr>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DONE WHEN</w:t>
            </w:r>
          </w:p>
        </w:tc>
        <w:tc>
          <w:tcPr>
            <w:tcW w:type="dxa" w:w="7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validation passes: classes order correctly within each climate group, and a monoculture plantation scores below a balanced site of lower raw productivity. If not, fix the index NOW.</w:t>
            </w:r>
          </w:p>
        </w:tc>
      </w:tr>
    </w:tbl>
    <w:p>
      <w:pPr>
        <w:spacing w:after="120"/>
      </w:pPr>
    </w:p>
    <w:p>
      <w:pPr>
        <w:pStyle w:val="Heading2"/>
        <w:spacing w:after="130" w:before="280"/>
      </w:pPr>
      <w:r>
        <w:rPr>
          <w:rFonts w:ascii="Calibri" w:cs="Calibri" w:eastAsia="Calibri" w:hAnsi="Calibri"/>
          <w:b/>
          <w:bCs/>
          <w:color w:val="2E5496"/>
          <w:sz w:val="25"/>
          <w:szCs w:val="25"/>
        </w:rPr>
        <w:t xml:space="preserve">Stage 7  ·  Analysis</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7420"/>
      </w:tblGrid>
      <w:tr>
        <w:trPr>
          <w:tblHeader/>
        </w:trPr>
        <w:tc>
          <w:tcPr>
            <w:tcW w:type="dxa" w:w="16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c>
          <w:tcPr>
            <w:tcW w:type="dxa" w:w="74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r>
      <w:tr>
        <w:tc>
          <w:tcPr>
            <w:tcW w:type="dxa" w:w="16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BEFORE YOU START</w:t>
            </w:r>
          </w:p>
        </w:tc>
        <w:tc>
          <w:tcPr>
            <w:tcW w:type="dxa" w:w="7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Stage 6 complete and the index no longer being changed.</w:t>
            </w:r>
          </w:p>
        </w:tc>
      </w:tr>
      <w:tr>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WHAT YOU DO</w:t>
            </w:r>
          </w:p>
        </w:tc>
        <w:tc>
          <w:tcPr>
            <w:tcW w:type="dxa" w:w="7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Run placebo test PL1 FIRST — it costs one model fit and tells you whether the rest is worth reading. Then analyses A1 to A9 in order, then the per-community estimation of §8.13, then the seventeen sensitivity checks and the remaining placebos.</w:t>
            </w:r>
          </w:p>
        </w:tc>
      </w:tr>
      <w:tr>
        <w:tc>
          <w:tcPr>
            <w:tcW w:type="dxa" w:w="16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WHAT YOU PRODUCE</w:t>
            </w:r>
          </w:p>
        </w:tc>
        <w:tc>
          <w:tcPr>
            <w:tcW w:type="dxa" w:w="7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Results tables and figures as specified in Part 10, INCLUDING the per-community results table (§10.4) — which is both a thesis deliverable and the training data for the second study.</w:t>
            </w:r>
          </w:p>
        </w:tc>
      </w:tr>
      <w:tr>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DONE WHEN</w:t>
            </w:r>
          </w:p>
        </w:tc>
        <w:tc>
          <w:tcPr>
            <w:tcW w:type="dxa" w:w="7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Every hypothesis has an estimate with a confidence interval; every null carries its detectable difference; the per-community table is complete; all seventeen sensitivity checks and all three placebos are reported whether or not they change anything.</w:t>
            </w:r>
          </w:p>
        </w:tc>
      </w:tr>
    </w:tbl>
    <w:p>
      <w:pPr>
        <w:spacing w:after="120"/>
      </w:pPr>
    </w:p>
    <w:p>
      <w:pPr>
        <w:pStyle w:val="Heading2"/>
        <w:spacing w:after="130" w:before="280"/>
      </w:pPr>
      <w:r>
        <w:rPr>
          <w:rFonts w:ascii="Calibri" w:cs="Calibri" w:eastAsia="Calibri" w:hAnsi="Calibri"/>
          <w:b/>
          <w:bCs/>
          <w:color w:val="2E5496"/>
          <w:sz w:val="25"/>
          <w:szCs w:val="25"/>
        </w:rPr>
        <w:t xml:space="preserve">Stage 8  ·  Writing</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7420"/>
      </w:tblGrid>
      <w:tr>
        <w:trPr>
          <w:tblHeader/>
        </w:trPr>
        <w:tc>
          <w:tcPr>
            <w:tcW w:type="dxa" w:w="16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c>
          <w:tcPr>
            <w:tcW w:type="dxa" w:w="74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r>
      <w:tr>
        <w:tc>
          <w:tcPr>
            <w:tcW w:type="dxa" w:w="16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BEFORE YOU START</w:t>
            </w:r>
          </w:p>
        </w:tc>
        <w:tc>
          <w:tcPr>
            <w:tcW w:type="dxa" w:w="7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Stage 7 results. This stage can begin during Stage 5.</w:t>
            </w:r>
          </w:p>
        </w:tc>
      </w:tr>
      <w:tr>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WHAT YOU DO</w:t>
            </w:r>
          </w:p>
        </w:tc>
        <w:tc>
          <w:tcPr>
            <w:tcW w:type="dxa" w:w="7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Write the methods from Parts 3 to 6, the results from Part 7, the limitations from §10.3. Apply the language rules of §10.2 to every sentence.</w:t>
            </w:r>
          </w:p>
        </w:tc>
      </w:tr>
      <w:tr>
        <w:tc>
          <w:tcPr>
            <w:tcW w:type="dxa" w:w="16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WHAT YOU PRODUCE</w:t>
            </w:r>
          </w:p>
        </w:tc>
        <w:tc>
          <w:tcPr>
            <w:tcW w:type="dxa" w:w="7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thesis chapter and the manuscript.</w:t>
            </w:r>
          </w:p>
        </w:tc>
      </w:tr>
      <w:tr>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DONE WHEN</w:t>
            </w:r>
          </w:p>
        </w:tc>
        <w:tc>
          <w:tcPr>
            <w:tcW w:type="dxa" w:w="7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Every limitation in §10.3 appears in your own words; the discontinued earlier study is disclosed in the methods; no sentence in the document fails the language substitution test.</w:t>
            </w:r>
          </w:p>
        </w:tc>
      </w:tr>
    </w:tbl>
    <w:p>
      <w:pPr>
        <w:spacing w:after="120"/>
      </w:pPr>
    </w:p>
    <w:p>
      <w:pPr>
        <w:pStyle w:val="Heading2"/>
        <w:spacing w:after="130" w:before="280"/>
      </w:pPr>
      <w:r>
        <w:rPr>
          <w:rFonts w:ascii="Calibri" w:cs="Calibri" w:eastAsia="Calibri" w:hAnsi="Calibri"/>
          <w:b/>
          <w:bCs/>
          <w:color w:val="2E5496"/>
          <w:sz w:val="25"/>
          <w:szCs w:val="25"/>
        </w:rPr>
        <w:t xml:space="preserve">7.9  Why the measurement area is a drawn polygon, and what it costs</w:t>
      </w:r>
    </w:p>
    <w:p>
      <w:pPr>
        <w:spacing w:after="120" w:line="276"/>
        <w:jc w:val="both"/>
      </w:pPr>
      <w:r>
        <w:rPr>
          <w:rFonts w:ascii="Calibri" w:cs="Calibri" w:eastAsia="Calibri" w:hAnsi="Calibri"/>
          <w:b w:val="false"/>
          <w:bCs w:val="false"/>
          <w:i w:val="false"/>
          <w:iCs w:val="false"/>
          <w:color w:val="000000"/>
          <w:sz w:val="21"/>
          <w:szCs w:val="21"/>
        </w:rPr>
        <w:t xml:space="preserve">This is the part of the design worth understanding fully, because it is what makes the study work at all.</w:t>
      </w:r>
    </w:p>
    <w:p>
      <w:pPr>
        <w:pStyle w:val="Heading3"/>
        <w:spacing w:after="110" w:before="220"/>
      </w:pPr>
      <w:r>
        <w:rPr>
          <w:rFonts w:ascii="Calibri" w:cs="Calibri" w:eastAsia="Calibri" w:hAnsi="Calibri"/>
          <w:b/>
          <w:bCs/>
          <w:color w:val="2E5496"/>
          <w:sz w:val="22"/>
          <w:szCs w:val="22"/>
        </w:rPr>
        <w:t xml:space="preserve">First, why the zone must be small</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000"/>
        <w:gridCol w:w="1800"/>
        <w:gridCol w:w="1800"/>
        <w:gridCol w:w="3420"/>
      </w:tblGrid>
      <w:tr>
        <w:trPr>
          <w:tblHeader/>
        </w:trPr>
        <w:tc>
          <w:tcPr>
            <w:tcW w:type="dxa" w:w="20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Intervention size</w:t>
            </w:r>
          </w:p>
        </w:tc>
        <w:tc>
          <w:tcPr>
            <w:tcW w:type="dxa" w:w="18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Coverage of the 7.07 ha zone</w:t>
            </w:r>
          </w:p>
        </w:tc>
        <w:tc>
          <w:tcPr>
            <w:tcW w:type="dxa" w:w="18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Observable effect</w:t>
            </w:r>
          </w:p>
        </w:tc>
        <w:tc>
          <w:tcPr>
            <w:tcW w:type="dxa" w:w="34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Against a detectable difference of 0.020 NDVI</w:t>
            </w:r>
          </w:p>
        </w:tc>
      </w:tr>
      <w:tr>
        <w:tc>
          <w:tcPr>
            <w:tcW w:type="dxa" w:w="20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 ha</w:t>
            </w:r>
          </w:p>
        </w:tc>
        <w:tc>
          <w:tcPr>
            <w:tcW w:type="dxa" w:w="1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14%</w:t>
            </w:r>
          </w:p>
        </w:tc>
        <w:tc>
          <w:tcPr>
            <w:tcW w:type="dxa" w:w="1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0.014</w:t>
            </w:r>
          </w:p>
        </w:tc>
        <w:tc>
          <w:tcPr>
            <w:tcW w:type="dxa" w:w="3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UNDERPOWERED — 0.6×</w:t>
            </w:r>
          </w:p>
        </w:tc>
      </w:tr>
      <w:tr>
        <w:tc>
          <w:tcPr>
            <w:tcW w:type="dxa" w:w="20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 ha</w:t>
            </w:r>
          </w:p>
        </w:tc>
        <w:tc>
          <w:tcPr>
            <w:tcW w:type="dxa" w:w="1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28%</w:t>
            </w:r>
          </w:p>
        </w:tc>
        <w:tc>
          <w:tcPr>
            <w:tcW w:type="dxa" w:w="1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0.028</w:t>
            </w:r>
          </w:p>
        </w:tc>
        <w:tc>
          <w:tcPr>
            <w:tcW w:type="dxa" w:w="3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Detectable — 1.3×</w:t>
            </w:r>
          </w:p>
        </w:tc>
      </w:tr>
      <w:tr>
        <w:tc>
          <w:tcPr>
            <w:tcW w:type="dxa" w:w="20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3 ha</w:t>
            </w:r>
          </w:p>
        </w:tc>
        <w:tc>
          <w:tcPr>
            <w:tcW w:type="dxa" w:w="1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42%</w:t>
            </w:r>
          </w:p>
        </w:tc>
        <w:tc>
          <w:tcPr>
            <w:tcW w:type="dxa" w:w="1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0.042</w:t>
            </w:r>
          </w:p>
        </w:tc>
        <w:tc>
          <w:tcPr>
            <w:tcW w:type="dxa" w:w="3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Comfortable — 1.9×</w:t>
            </w:r>
          </w:p>
        </w:tc>
      </w:tr>
      <w:tr>
        <w:tc>
          <w:tcPr>
            <w:tcW w:type="dxa" w:w="20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5 ha</w:t>
            </w:r>
          </w:p>
        </w:tc>
        <w:tc>
          <w:tcPr>
            <w:tcW w:type="dxa" w:w="1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71%</w:t>
            </w:r>
          </w:p>
        </w:tc>
        <w:tc>
          <w:tcPr>
            <w:tcW w:type="dxa" w:w="1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0.071</w:t>
            </w:r>
          </w:p>
        </w:tc>
        <w:tc>
          <w:tcPr>
            <w:tcW w:type="dxa" w:w="3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Strong — 3.2×</w:t>
            </w:r>
          </w:p>
        </w:tc>
      </w:tr>
      <w:tr>
        <w:tc>
          <w:tcPr>
            <w:tcW w:type="dxa" w:w="20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10 ha or more</w:t>
            </w:r>
          </w:p>
        </w:tc>
        <w:tc>
          <w:tcPr>
            <w:tcW w:type="dxa" w:w="1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100%</w:t>
            </w:r>
          </w:p>
        </w:tc>
        <w:tc>
          <w:tcPr>
            <w:tcW w:type="dxa" w:w="1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0.100</w:t>
            </w:r>
          </w:p>
        </w:tc>
        <w:tc>
          <w:tcPr>
            <w:tcW w:type="dxa" w:w="3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Strong — 4.5×</w:t>
            </w:r>
          </w:p>
        </w:tc>
      </w:tr>
      <w:tr>
        <w:tc>
          <w:tcPr>
            <w:tcW w:type="dxa" w:w="20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5 ha at the old 500 m radius</w:t>
            </w:r>
          </w:p>
        </w:tc>
        <w:tc>
          <w:tcPr>
            <w:tcW w:type="dxa" w:w="1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6%</w:t>
            </w:r>
          </w:p>
        </w:tc>
        <w:tc>
          <w:tcPr>
            <w:tcW w:type="dxa" w:w="1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0.006</w:t>
            </w:r>
          </w:p>
        </w:tc>
        <w:tc>
          <w:tcPr>
            <w:tcW w:type="dxa" w:w="3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INVISIBLE — 0.3×</w:t>
            </w:r>
          </w:p>
        </w:tc>
      </w:tr>
    </w:tbl>
    <w:p>
      <w:pPr>
        <w:spacing w:after="120"/>
      </w:pPr>
    </w:p>
    <w:p>
      <w:pPr>
        <w:spacing w:after="120" w:line="276"/>
        <w:jc w:val="both"/>
      </w:pPr>
      <w:r>
        <w:rPr>
          <w:rFonts w:ascii="Calibri" w:cs="Calibri" w:eastAsia="Calibri" w:hAnsi="Calibri"/>
          <w:b w:val="false"/>
          <w:bCs w:val="false"/>
          <w:i w:val="false"/>
          <w:iCs w:val="false"/>
          <w:color w:val="000000"/>
          <w:sz w:val="21"/>
          <w:szCs w:val="21"/>
        </w:rPr>
        <w:t xml:space="preserve">The last row is the discontinued study. Its null was produced by its measurement radius, not by the absence of an effect.</w:t>
      </w:r>
    </w:p>
    <w:p>
      <w:pPr>
        <w:pStyle w:val="Heading3"/>
        <w:spacing w:after="110" w:before="220"/>
      </w:pPr>
      <w:r>
        <w:rPr>
          <w:rFonts w:ascii="Calibri" w:cs="Calibri" w:eastAsia="Calibri" w:hAnsi="Calibri"/>
          <w:b/>
          <w:bCs/>
          <w:color w:val="2E5496"/>
          <w:sz w:val="22"/>
          <w:szCs w:val="22"/>
        </w:rPr>
        <w:t xml:space="preserve">Second, why a circle is the wrong shape</w:t>
      </w:r>
    </w:p>
    <w:p>
      <w:pPr>
        <w:spacing w:after="120" w:line="276"/>
        <w:jc w:val="both"/>
      </w:pPr>
      <w:r>
        <w:rPr>
          <w:rFonts w:ascii="Calibri" w:cs="Calibri" w:eastAsia="Calibri" w:hAnsi="Calibri"/>
          <w:b w:val="false"/>
          <w:bCs w:val="false"/>
          <w:i w:val="false"/>
          <w:iCs w:val="false"/>
          <w:color w:val="000000"/>
          <w:sz w:val="21"/>
          <w:szCs w:val="21"/>
        </w:rPr>
        <w:t xml:space="preserve">Shrinking the circle was the first fix. Matching its size to the community was the second. Replacing it with the real outline is the third, and it recovers more than either of the first two at strip-shaped and terraced sites — which is most of them, because permaculture design follows the terrain.</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3000"/>
        <w:gridCol w:w="1800"/>
        <w:gridCol w:w="4220"/>
      </w:tblGrid>
      <w:tr>
        <w:trPr>
          <w:tblHeader/>
        </w:trPr>
        <w:tc>
          <w:tcPr>
            <w:tcW w:type="dxa" w:w="30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7 hectares of managed land, shaped as…</w:t>
            </w:r>
          </w:p>
        </w:tc>
        <w:tc>
          <w:tcPr>
            <w:tcW w:type="dxa" w:w="18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Area says</w:t>
            </w:r>
          </w:p>
        </w:tc>
        <w:tc>
          <w:tcPr>
            <w:tcW w:type="dxa" w:w="42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A 150 m circle really captures</w:t>
            </w:r>
          </w:p>
        </w:tc>
      </w:tr>
      <w:tr>
        <w:tc>
          <w:tcPr>
            <w:tcW w:type="dxa" w:w="30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compact block near the centre</w:t>
            </w:r>
          </w:p>
        </w:tc>
        <w:tc>
          <w:tcPr>
            <w:tcW w:type="dxa" w:w="1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fully covered</w:t>
            </w:r>
          </w:p>
        </w:tc>
        <w:tc>
          <w:tcPr>
            <w:tcW w:type="dxa" w:w="42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95%</w:t>
            </w:r>
          </w:p>
        </w:tc>
      </w:tr>
      <w:tr>
        <w:tc>
          <w:tcPr>
            <w:tcW w:type="dxa" w:w="30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rectangle, 350 × 200 m</w:t>
            </w:r>
          </w:p>
        </w:tc>
        <w:tc>
          <w:tcPr>
            <w:tcW w:type="dxa" w:w="1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fully covered</w:t>
            </w:r>
          </w:p>
        </w:tc>
        <w:tc>
          <w:tcPr>
            <w:tcW w:type="dxa" w:w="42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78%</w:t>
            </w:r>
          </w:p>
        </w:tc>
      </w:tr>
      <w:tr>
        <w:tc>
          <w:tcPr>
            <w:tcW w:type="dxa" w:w="30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Two parcels either side of a road</w:t>
            </w:r>
          </w:p>
        </w:tc>
        <w:tc>
          <w:tcPr>
            <w:tcW w:type="dxa" w:w="1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fully covered</w:t>
            </w:r>
          </w:p>
        </w:tc>
        <w:tc>
          <w:tcPr>
            <w:tcW w:type="dxa" w:w="42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65%</w:t>
            </w:r>
          </w:p>
        </w:tc>
      </w:tr>
      <w:tr>
        <w:tc>
          <w:tcPr>
            <w:tcW w:type="dxa" w:w="30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valley strip, 700 × 100 m</w:t>
            </w:r>
          </w:p>
        </w:tc>
        <w:tc>
          <w:tcPr>
            <w:tcW w:type="dxa" w:w="1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fully covered</w:t>
            </w:r>
          </w:p>
        </w:tc>
        <w:tc>
          <w:tcPr>
            <w:tcW w:type="dxa" w:w="42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42%</w:t>
            </w:r>
          </w:p>
        </w:tc>
      </w:tr>
      <w:tr>
        <w:tc>
          <w:tcPr>
            <w:tcW w:type="dxa" w:w="30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Terraces along a slope, 900 × 80 m</w:t>
            </w:r>
          </w:p>
        </w:tc>
        <w:tc>
          <w:tcPr>
            <w:tcW w:type="dxa" w:w="1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fully covered</w:t>
            </w:r>
          </w:p>
        </w:tc>
        <w:tc>
          <w:tcPr>
            <w:tcW w:type="dxa" w:w="42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38%</w:t>
            </w:r>
          </w:p>
        </w:tc>
      </w:tr>
    </w:tbl>
    <w:p>
      <w:pPr>
        <w:spacing w:after="120"/>
      </w:pPr>
    </w:p>
    <w:p>
      <w:pPr>
        <w:spacing w:after="120" w:line="276"/>
        <w:jc w:val="both"/>
      </w:pPr>
      <w:r>
        <w:rPr>
          <w:rFonts w:ascii="Calibri" w:cs="Calibri" w:eastAsia="Calibri" w:hAnsi="Calibri"/>
          <w:b w:val="false"/>
          <w:bCs w:val="false"/>
          <w:i w:val="false"/>
          <w:iCs w:val="false"/>
          <w:color w:val="000000"/>
          <w:sz w:val="21"/>
          <w:szCs w:val="21"/>
        </w:rPr>
        <w:t xml:space="preserve">A polygon takes every row to 100 per cent, and your drawing accuracy of 90 to 95 per cent keeps nearly all of that. Even at 75 per cent accuracy — your worst case — a polygon beats a circle over any holding that is not a compact block.</w:t>
      </w:r>
    </w:p>
    <w:p>
      <w:pPr>
        <w:spacing w:after="120" w:line="276"/>
        <w:jc w:val="both"/>
      </w:pPr>
      <w:r>
        <w:rPr>
          <w:rFonts w:ascii="Calibri" w:cs="Calibri" w:eastAsia="Calibri" w:hAnsi="Calibri"/>
          <w:b/>
          <w:bCs/>
          <w:i w:val="false"/>
          <w:iCs w:val="false"/>
          <w:color w:val="000000"/>
          <w:sz w:val="21"/>
          <w:szCs w:val="21"/>
        </w:rPr>
        <w:t xml:space="preserve">And it lowers noise rather than raising it. </w:t>
      </w:r>
      <w:r>
        <w:rPr>
          <w:rFonts w:ascii="Calibri" w:cs="Calibri" w:eastAsia="Calibri" w:hAnsi="Calibri"/>
          <w:b w:val="false"/>
          <w:bCs w:val="false"/>
          <w:i w:val="false"/>
          <w:iCs w:val="false"/>
          <w:color w:val="000000"/>
          <w:sz w:val="21"/>
          <w:szCs w:val="21"/>
        </w:rPr>
        <w:t xml:space="preserve">Noise depends on how much ground is averaged, not on its shape, so a polygon of the same area is no noisier than a circle. Meanwhile it removes something the circle carried: a variable amount of unmanaged land, differing site to site. That variability was pure noise.</w:t>
      </w:r>
    </w:p>
    <w:p>
      <w:pPr>
        <w:spacing w:after="120" w:line="276"/>
        <w:jc w:val="both"/>
      </w:pPr>
      <w:r>
        <w:rPr>
          <w:rFonts w:ascii="Calibri" w:cs="Calibri" w:eastAsia="Calibri" w:hAnsi="Calibri"/>
          <w:b w:val="false"/>
          <w:bCs w:val="false"/>
          <w:i w:val="false"/>
          <w:iCs w:val="false"/>
          <w:color w:val="000000"/>
          <w:sz w:val="21"/>
          <w:szCs w:val="21"/>
        </w:rPr>
        <w:t xml:space="preserve">The one case where a circle wins is a small holding that already sat neatly inside it — there the polygon shrinks the measured area and costs a little precision. Those are the sites where the circle was already doing its job, and sensitivity check SC1 will show it.</w:t>
      </w:r>
    </w:p>
    <w:p>
      <w:pPr>
        <w:spacing w:after="140"/>
      </w:pPr>
    </w:p>
    <w:p>
      <w:pPr>
        <w:pStyle w:val="Heading3"/>
        <w:spacing w:after="110" w:before="220"/>
      </w:pPr>
      <w:r>
        <w:rPr>
          <w:rFonts w:ascii="Calibri" w:cs="Calibri" w:eastAsia="Calibri" w:hAnsi="Calibri"/>
          <w:b/>
          <w:bCs/>
          <w:color w:val="2E5496"/>
          <w:sz w:val="22"/>
          <w:szCs w:val="22"/>
        </w:rPr>
        <w:t xml:space="preserve">Third, why one circle size does not fit every community</w:t>
      </w:r>
    </w:p>
    <w:p>
      <w:pPr>
        <w:spacing w:after="120" w:line="276"/>
        <w:jc w:val="both"/>
      </w:pPr>
      <w:r>
        <w:rPr>
          <w:rFonts w:ascii="Calibri" w:cs="Calibri" w:eastAsia="Calibri" w:hAnsi="Calibri"/>
          <w:b w:val="false"/>
          <w:bCs w:val="false"/>
          <w:i w:val="false"/>
          <w:iCs w:val="false"/>
          <w:color w:val="000000"/>
          <w:sz w:val="21"/>
          <w:szCs w:val="21"/>
        </w:rPr>
        <w:t xml:space="preserve">The table above assumes a 7.07 hectare zone. But a community working two hectares fills only 28 per cent of it, so nearly three-quarters of what gets measured is somebody else’s land — and the effect is diluted accordingly. A community working fifty hectares fills it completely, and could have been measured over a wider and quieter zone at no cost.</w:t>
      </w:r>
    </w:p>
    <w:p>
      <w:pPr>
        <w:spacing w:after="120" w:line="276"/>
        <w:jc w:val="both"/>
      </w:pPr>
      <w:r>
        <w:rPr>
          <w:rFonts w:ascii="Calibri" w:cs="Calibri" w:eastAsia="Calibri" w:hAnsi="Calibri"/>
          <w:b w:val="false"/>
          <w:bCs w:val="false"/>
          <w:i w:val="false"/>
          <w:iCs w:val="false"/>
          <w:color w:val="000000"/>
          <w:sz w:val="21"/>
          <w:szCs w:val="21"/>
        </w:rPr>
        <w:t xml:space="preserve">This still matters, because the REFERENCE circles must be matched in area to each polygon. Five sizes cover the range: 75, 110, 150, 210 and 300 metres, giving 1.77, 3.80, 7.07, 13.85 and 28.27 hectares. Each is about twice the one before, so whichever is closest is never more than 1.47 times off in area — a shift of roughly 3 per cent in rescaled scores.</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1500"/>
        <w:gridCol w:w="1500"/>
        <w:gridCol w:w="2200"/>
        <w:gridCol w:w="1900"/>
        <w:gridCol w:w="1920"/>
      </w:tblGrid>
      <w:tr>
        <w:trPr>
          <w:tblHeader/>
        </w:trPr>
        <w:tc>
          <w:tcPr>
            <w:tcW w:type="dxa" w:w="15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Reference circle</w:t>
            </w:r>
          </w:p>
        </w:tc>
        <w:tc>
          <w:tcPr>
            <w:tcW w:type="dxa" w:w="15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Its area</w:t>
            </w:r>
          </w:p>
        </w:tc>
        <w:tc>
          <w:tcPr>
            <w:tcW w:type="dxa" w:w="22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Matches polygons of about</w:t>
            </w:r>
          </w:p>
        </w:tc>
        <w:tc>
          <w:tcPr>
            <w:tcW w:type="dxa" w:w="19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Noise (σ)</w:t>
            </w:r>
          </w:p>
        </w:tc>
        <w:tc>
          <w:tcPr>
            <w:tcW w:type="dxa" w:w="19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Rescaled SD</w:t>
            </w:r>
          </w:p>
        </w:tc>
      </w:tr>
      <w:tr>
        <w:tc>
          <w:tcPr>
            <w:tcW w:type="dxa" w:w="15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75 m</w:t>
            </w:r>
          </w:p>
        </w:tc>
        <w:tc>
          <w:tcPr>
            <w:tcW w:type="dxa" w:w="15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1.77 ha</w:t>
            </w:r>
          </w:p>
        </w:tc>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under 2.6 ha</w:t>
            </w:r>
          </w:p>
        </w:tc>
        <w:tc>
          <w:tcPr>
            <w:tcW w:type="dxa" w:w="19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0.107</w:t>
            </w:r>
          </w:p>
        </w:tc>
        <w:tc>
          <w:tcPr>
            <w:tcW w:type="dxa" w:w="19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0.198</w:t>
            </w:r>
          </w:p>
        </w:tc>
      </w:tr>
      <w:tr>
        <w:tc>
          <w:tcPr>
            <w:tcW w:type="dxa" w:w="15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110 m</w:t>
            </w:r>
          </w:p>
        </w:tc>
        <w:tc>
          <w:tcPr>
            <w:tcW w:type="dxa" w:w="15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3.80 ha</w:t>
            </w:r>
          </w:p>
        </w:tc>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2.6 to 5.2 ha</w:t>
            </w:r>
          </w:p>
        </w:tc>
        <w:tc>
          <w:tcPr>
            <w:tcW w:type="dxa" w:w="19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0.097</w:t>
            </w:r>
          </w:p>
        </w:tc>
        <w:tc>
          <w:tcPr>
            <w:tcW w:type="dxa" w:w="19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0.191</w:t>
            </w:r>
          </w:p>
        </w:tc>
      </w:tr>
      <w:tr>
        <w:tc>
          <w:tcPr>
            <w:tcW w:type="dxa" w:w="15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150 m</w:t>
            </w:r>
          </w:p>
        </w:tc>
        <w:tc>
          <w:tcPr>
            <w:tcW w:type="dxa" w:w="15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7.07 ha</w:t>
            </w:r>
          </w:p>
        </w:tc>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5.2 to 9.9 ha</w:t>
            </w:r>
          </w:p>
        </w:tc>
        <w:tc>
          <w:tcPr>
            <w:tcW w:type="dxa" w:w="19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0.089</w:t>
            </w:r>
          </w:p>
        </w:tc>
        <w:tc>
          <w:tcPr>
            <w:tcW w:type="dxa" w:w="19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0.185</w:t>
            </w:r>
          </w:p>
        </w:tc>
      </w:tr>
      <w:tr>
        <w:tc>
          <w:tcPr>
            <w:tcW w:type="dxa" w:w="15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210 m</w:t>
            </w:r>
          </w:p>
        </w:tc>
        <w:tc>
          <w:tcPr>
            <w:tcW w:type="dxa" w:w="15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13.85 ha</w:t>
            </w:r>
          </w:p>
        </w:tc>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9.9 to 19.8 ha</w:t>
            </w:r>
          </w:p>
        </w:tc>
        <w:tc>
          <w:tcPr>
            <w:tcW w:type="dxa" w:w="19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0.081</w:t>
            </w:r>
          </w:p>
        </w:tc>
        <w:tc>
          <w:tcPr>
            <w:tcW w:type="dxa" w:w="19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0.179</w:t>
            </w:r>
          </w:p>
        </w:tc>
      </w:tr>
      <w:tr>
        <w:tc>
          <w:tcPr>
            <w:tcW w:type="dxa" w:w="15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300 m</w:t>
            </w:r>
          </w:p>
        </w:tc>
        <w:tc>
          <w:tcPr>
            <w:tcW w:type="dxa" w:w="15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28.27 ha</w:t>
            </w:r>
          </w:p>
        </w:tc>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over 19.8 ha</w:t>
            </w:r>
          </w:p>
        </w:tc>
        <w:tc>
          <w:tcPr>
            <w:tcW w:type="dxa" w:w="19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0.074</w:t>
            </w:r>
          </w:p>
        </w:tc>
        <w:tc>
          <w:tcPr>
            <w:tcW w:type="dxa" w:w="19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0.171</w:t>
            </w:r>
          </w:p>
        </w:tc>
      </w:tr>
    </w:tbl>
    <w:p>
      <w:pPr>
        <w:spacing w:after="120"/>
      </w:pPr>
    </w:p>
    <w:p>
      <w:pPr>
        <w:spacing w:after="120" w:line="276"/>
        <w:jc w:val="both"/>
      </w:pPr>
      <w:r>
        <w:rPr>
          <w:rFonts w:ascii="Calibri" w:cs="Calibri" w:eastAsia="Calibri" w:hAnsi="Calibri"/>
          <w:b w:val="false"/>
          <w:bCs w:val="false"/>
          <w:i w:val="false"/>
          <w:iCs w:val="false"/>
          <w:color w:val="000000"/>
          <w:sz w:val="21"/>
          <w:szCs w:val="21"/>
        </w:rPr>
        <w:t xml:space="preserve">The σ column comes from the pilot. Fitting its five measured radii gives a noise law of σ(r) proportional to r to the power −0.27, and the fit is almost exact — 0.126 at 50 m, 0.104 at 100 m, 0.092 at 160 m, 0.082 at 250 m and 0.068 at 500 m, against measured values of 0.126, 0.103, 0.087, 0.077 and 0.068.</w:t>
      </w:r>
    </w:p>
    <w:p>
      <w:pPr>
        <w:pStyle w:val="Heading3"/>
        <w:spacing w:after="110" w:before="220"/>
      </w:pPr>
      <w:r>
        <w:rPr>
          <w:rFonts w:ascii="Calibri" w:cs="Calibri" w:eastAsia="Calibri" w:hAnsi="Calibri"/>
          <w:b/>
          <w:bCs/>
          <w:color w:val="2E5496"/>
          <w:sz w:val="22"/>
          <w:szCs w:val="22"/>
        </w:rPr>
        <w:t xml:space="preserve">What all of this buys, and what it costs</w:t>
      </w:r>
    </w:p>
    <w:p>
      <w:pPr>
        <w:spacing w:after="120" w:line="276"/>
        <w:jc w:val="both"/>
      </w:pPr>
      <w:r>
        <w:rPr>
          <w:rFonts w:ascii="Calibri" w:cs="Calibri" w:eastAsia="Calibri" w:hAnsi="Calibri"/>
          <w:b/>
          <w:bCs/>
          <w:i w:val="false"/>
          <w:iCs w:val="false"/>
          <w:color w:val="000000"/>
          <w:sz w:val="21"/>
          <w:szCs w:val="21"/>
        </w:rPr>
        <w:t xml:space="preserve">Sizing the circle roughly DOUBLED detectability for small communities. Drawing the polygon adds a further 1.2 to 2.4 times at sites whose land is not a compact block. </w:t>
      </w:r>
      <w:r>
        <w:rPr>
          <w:rFonts w:ascii="Calibri" w:cs="Calibri" w:eastAsia="Calibri" w:hAnsi="Calibri"/>
          <w:b w:val="false"/>
          <w:bCs w:val="false"/>
          <w:i w:val="false"/>
          <w:iCs w:val="false"/>
          <w:color w:val="000000"/>
          <w:sz w:val="21"/>
          <w:szCs w:val="21"/>
        </w:rPr>
        <w:t xml:space="preserve">Together they take a one-hectare community from 0.72 times the detectable difference — undetectable — to comfortably detectable, and they recover roughly half the signal that a circle was discarding at valley-strip and terraced sites.</w:t>
      </w:r>
    </w:p>
    <w:p>
      <w:pPr>
        <w:spacing w:after="120" w:line="276"/>
        <w:jc w:val="both"/>
      </w:pPr>
      <w:r>
        <w:rPr>
          <w:rFonts w:ascii="Calibri" w:cs="Calibri" w:eastAsia="Calibri" w:hAnsi="Calibri"/>
          <w:b w:val="false"/>
          <w:bCs w:val="false"/>
          <w:i w:val="false"/>
          <w:iCs w:val="false"/>
          <w:color w:val="000000"/>
          <w:sz w:val="21"/>
          <w:szCs w:val="21"/>
        </w:rPr>
        <w:t xml:space="preserve">The costs are four, and all are paid rather than avoided. Sixty to ninety hours of drawing. Reference levels at five radii, which is most of the growth in the panel (§4.4). The configuration dimension moved to the common circle, because a polygon can be too small or too thin for a 70 metre pattern window (§6.5). And a bias risk larger than any earlier version carried, because drawing defines the exact ground measured — controlled by the structural-drawing rule, the 20 per cent redraw, and SC1.</w:t>
      </w:r>
    </w:p>
    <w:p>
      <w:pPr>
        <w:spacing w:after="120" w:line="276"/>
        <w:jc w:val="both"/>
      </w:pPr>
      <w:r>
        <w:rPr>
          <w:rFonts w:ascii="Calibri" w:cs="Calibri" w:eastAsia="Calibri" w:hAnsi="Calibri"/>
          <w:b/>
          <w:bCs/>
          <w:i w:val="false"/>
          <w:iCs w:val="false"/>
          <w:color w:val="000000"/>
          <w:sz w:val="21"/>
          <w:szCs w:val="21"/>
        </w:rPr>
        <w:t xml:space="preserve">And one protection. </w:t>
      </w:r>
      <w:r>
        <w:rPr>
          <w:rFonts w:ascii="Calibri" w:cs="Calibri" w:eastAsia="Calibri" w:hAnsi="Calibri"/>
          <w:b w:val="false"/>
          <w:bCs w:val="false"/>
          <w:i w:val="false"/>
          <w:iCs w:val="false"/>
          <w:color w:val="000000"/>
          <w:sz w:val="21"/>
          <w:szCs w:val="21"/>
        </w:rPr>
        <w:t xml:space="preserve">Sensitivity check SC1 re-runs every analysis over SIZE-MATCHED CIRCLES instead of polygons. If the two give the same answer, the drawing introduced no bias and the result stands either way. If they differ, that difference is itself reportable — and the polygon version is the more accurate of the two, provided the redraw overlap in T8c is high.</w:t>
      </w:r>
    </w:p>
    <w:p>
      <w:r>
        <w:br w:type="page"/>
      </w:r>
    </w:p>
    <w:p>
      <w:pPr>
        <w:pStyle w:val="Heading1"/>
        <w:pBdr>
          <w:bottom w:val="single" w:color="1F3864" w:sz="12" w:space="6"/>
        </w:pBdr>
        <w:spacing w:after="200" w:before="400"/>
      </w:pPr>
      <w:r>
        <w:rPr>
          <w:rFonts w:ascii="Calibri" w:cs="Calibri" w:eastAsia="Calibri" w:hAnsi="Calibri"/>
          <w:b/>
          <w:bCs/>
          <w:color w:val="1F3864"/>
          <w:sz w:val="32"/>
          <w:szCs w:val="32"/>
        </w:rPr>
        <w:t xml:space="preserve">Part 8  ·  The analyses</w:t>
      </w:r>
    </w:p>
    <w:p>
      <w:pPr>
        <w:spacing w:after="120" w:line="276"/>
        <w:jc w:val="both"/>
      </w:pPr>
      <w:r>
        <w:rPr>
          <w:rFonts w:ascii="Calibri" w:cs="Calibri" w:eastAsia="Calibri" w:hAnsi="Calibri"/>
          <w:b w:val="false"/>
          <w:bCs w:val="false"/>
          <w:i w:val="false"/>
          <w:iCs w:val="false"/>
          <w:color w:val="000000"/>
          <w:sz w:val="21"/>
          <w:szCs w:val="21"/>
        </w:rPr>
        <w:t xml:space="preserve">Nine named analyses, one per hypothesis. Each has a name you can use in the thesis, a specification, and a note on how to read the result.</w:t>
      </w:r>
    </w:p>
    <w:p>
      <w:pPr>
        <w:pStyle w:val="Heading2"/>
        <w:spacing w:after="130" w:before="280"/>
      </w:pPr>
      <w:r>
        <w:rPr>
          <w:rFonts w:ascii="Calibri" w:cs="Calibri" w:eastAsia="Calibri" w:hAnsi="Calibri"/>
          <w:b/>
          <w:bCs/>
          <w:color w:val="2E5496"/>
          <w:sz w:val="25"/>
          <w:szCs w:val="25"/>
        </w:rPr>
        <w:t xml:space="preserve">8.1  The model form used by most of them</w:t>
      </w:r>
    </w:p>
    <w:p>
      <w:pPr>
        <w:spacing w:after="130" w:before="130"/>
        <w:jc w:val="center"/>
      </w:pPr>
      <w:r>
        <w:rPr>
          <w:rFonts w:ascii="Consolas" w:cs="Consolas" w:eastAsia="Consolas" w:hAnsi="Consolas"/>
          <w:b/>
          <w:bCs/>
          <w:sz w:val="22"/>
          <w:szCs w:val="22"/>
        </w:rPr>
        <w:t xml:space="preserve">outcome  =  β₀  +  β₁·SITE_TYPE  +  β₂·built_fraction  +  Σ βₖ·covariates  +  quartet  +  ε</w:t>
      </w:r>
    </w:p>
    <w:p>
      <w:pPr>
        <w:spacing w:after="130" w:before="0"/>
        <w:jc w:val="center"/>
      </w:pPr>
      <w:r>
        <w:rPr>
          <w:rFonts w:ascii="Calibri" w:cs="Calibri" w:eastAsia="Calibri" w:hAnsi="Calibri"/>
          <w:i/>
          <w:iCs/>
          <w:color w:val="595959"/>
          <w:sz w:val="17"/>
          <w:szCs w:val="17"/>
        </w:rPr>
        <w:t xml:space="preserve">standard errors clustered at site level</w:t>
      </w:r>
    </w:p>
    <w:p>
      <w:pPr>
        <w:spacing w:after="120" w:line="276"/>
        <w:jc w:val="both"/>
      </w:pPr>
      <w:r>
        <w:rPr>
          <w:rFonts w:ascii="Calibri" w:cs="Calibri" w:eastAsia="Calibri" w:hAnsi="Calibri"/>
          <w:b w:val="false"/>
          <w:bCs w:val="false"/>
          <w:i w:val="false"/>
          <w:iCs w:val="false"/>
          <w:color w:val="000000"/>
          <w:sz w:val="21"/>
          <w:szCs w:val="21"/>
        </w:rPr>
        <w:t xml:space="preserve">Read as: compare each settlement against its own three controls, adjusting for built-up fraction and the other covariates, and let each quartet have its own baseline. β₁ is the quantity of interest.</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6620"/>
      </w:tblGrid>
      <w:tr>
        <w:trPr>
          <w:tblHeader/>
        </w:trPr>
        <w:tc>
          <w:tcPr>
            <w:tcW w:type="dxa" w:w="24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Element</w:t>
            </w:r>
          </w:p>
        </w:tc>
        <w:tc>
          <w:tcPr>
            <w:tcW w:type="dxa" w:w="66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Why it is there</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Quartet as a fixed effect</w:t>
            </w:r>
          </w:p>
        </w:tc>
        <w:tc>
          <w:tcPr>
            <w:tcW w:type="dxa" w:w="6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Removes everything a settlement shares with its three controls — region, climate, biome, landscape, national policy. That is the largest source of variation in the data, so removing it measures every effect against a much smaller residual. This is free precision and the single most valuable feature of the matched design.</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Built fraction as a covariate</w:t>
            </w:r>
          </w:p>
        </w:tc>
        <w:tc>
          <w:tcPr>
            <w:tcW w:type="dxa" w:w="6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largest confounder available. Explains about a fifth of the residual variation; including it improves the detectable difference by 10–20%.</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Clustering at site level</w:t>
            </w:r>
          </w:p>
        </w:tc>
        <w:tc>
          <w:tcPr>
            <w:tcW w:type="dxa" w:w="6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Observations within a site are not independent — they share soil, slope and management. Without clustering, standard errors are far too small and everything looks significant.</w:t>
            </w:r>
          </w:p>
        </w:tc>
      </w:tr>
    </w:tbl>
    <w:p>
      <w:pPr>
        <w:spacing w:after="140"/>
      </w:pPr>
    </w:p>
    <w:p>
      <w:pPr>
        <w:pStyle w:val="Heading2"/>
        <w:spacing w:after="130" w:before="280"/>
      </w:pPr>
      <w:r>
        <w:rPr>
          <w:rFonts w:ascii="Calibri" w:cs="Calibri" w:eastAsia="Calibri" w:hAnsi="Calibri"/>
          <w:b/>
          <w:bCs/>
          <w:color w:val="2E5496"/>
          <w:sz w:val="25"/>
          <w:szCs w:val="25"/>
        </w:rPr>
        <w:t xml:space="preserve">8.2  The unit of analysis — stated explicitly</w:t>
      </w:r>
    </w:p>
    <w:tbl>
      <w:tblPr>
        <w:tblW w:type="dxa" w:w="9020"/>
        <w:tblBorders>
          <w:top w:val="none" w:color="FFFFFF" w:sz="0"/>
          <w:left w:val="single" w:color="C0504D" w:sz="18"/>
          <w:bottom w:val="none" w:color="FFFFFF" w:sz="0"/>
          <w:right w:val="none" w:color="FFFFFF" w:sz="0"/>
          <w:insideH w:val="none" w:color="FFFFFF" w:sz="0"/>
          <w:insideV w:val="none" w:color="FFFFFF" w:sz="0"/>
        </w:tblBorders>
      </w:tblPr>
      <w:tblGrid>
        <w:gridCol w:w="9020"/>
      </w:tblGrid>
      <w:tr>
        <w:tc>
          <w:tcPr>
            <w:tcW w:type="dxa" w:w="9020"/>
            <w:shd w:fill="FDECEC" w:color="auto" w:val="clear"/>
            <w:tcMar>
              <w:top w:type="dxa" w:w="150"/>
              <w:left w:type="dxa" w:w="180"/>
              <w:bottom w:type="dxa" w:w="150"/>
              <w:right w:type="dxa" w:w="180"/>
            </w:tcMar>
          </w:tcPr>
          <w:p>
            <w:pPr>
              <w:spacing w:after="90"/>
            </w:pPr>
            <w:r>
              <w:rPr>
                <w:rFonts w:ascii="Calibri" w:cs="Calibri" w:eastAsia="Calibri" w:hAnsi="Calibri"/>
                <w:b/>
                <w:bCs/>
                <w:color w:val="C0504D"/>
                <w:sz w:val="21"/>
                <w:szCs w:val="21"/>
              </w:rPr>
              <w:t xml:space="preserve">This was missing from version 1.0 and it changes the answer</w:t>
            </w:r>
          </w:p>
          <w:p>
            <w:pPr>
              <w:spacing w:after="90" w:line="276"/>
              <w:jc w:val="both"/>
            </w:pPr>
            <w:r>
              <w:rPr>
                <w:rFonts w:ascii="Calibri" w:cs="Calibri" w:eastAsia="Calibri" w:hAnsi="Calibri"/>
                <w:sz w:val="20"/>
                <w:szCs w:val="20"/>
              </w:rPr>
              <w:t xml:space="preserve">The PRIMARY outcome is the SEVEN-YEAR MEAN of the annual index, at SITE level. One row per site, 848 rows. This is what analyses A1, A2, A5, A6 and A7 use.</w:t>
            </w:r>
          </w:p>
          <w:p>
            <w:pPr>
              <w:spacing w:after="90" w:line="276"/>
              <w:jc w:val="both"/>
            </w:pPr>
            <w:r>
              <w:rPr>
                <w:rFonts w:ascii="Calibri" w:cs="Calibri" w:eastAsia="Calibri" w:hAnsi="Calibri"/>
                <w:sz w:val="20"/>
                <w:szCs w:val="20"/>
              </w:rPr>
              <w:t xml:space="preserve">The SITE-YEAR panel — 848 sites × 7 years — is used only where the analysis is genuinely about variation over time: metric VM7 (interannual variability) and both flag components FC1 and FC2, all of which are computed from the seven-year series and then enter the site-level table as single values.</w:t>
            </w:r>
          </w:p>
          <w:p>
            <w:pPr>
              <w:spacing w:after="90" w:line="276"/>
              <w:jc w:val="both"/>
            </w:pPr>
            <w:r>
              <w:rPr>
                <w:rFonts w:ascii="Calibri" w:cs="Calibri" w:eastAsia="Calibri" w:hAnsi="Calibri"/>
                <w:sz w:val="20"/>
                <w:szCs w:val="20"/>
              </w:rPr>
              <w:t xml:space="preserve">The SITE-RING panel — 848 sites × 5 rings — is used only by analysis A3.</w:t>
            </w:r>
          </w:p>
          <w:p>
            <w:pPr>
              <w:spacing w:after="90" w:line="276"/>
              <w:jc w:val="both"/>
            </w:pPr>
            <w:r>
              <w:rPr>
                <w:rFonts w:ascii="Calibri" w:cs="Calibri" w:eastAsia="Calibri" w:hAnsi="Calibri"/>
                <w:sz w:val="20"/>
                <w:szCs w:val="20"/>
              </w:rPr>
              <w:t xml:space="preserve">Mixing these gives different standard errors and different answers. Say in the methods which one each analysis uses.</w:t>
            </w:r>
          </w:p>
        </w:tc>
      </w:tr>
    </w:tbl>
    <w:p>
      <w:pPr>
        <w:spacing w:after="140"/>
      </w:pPr>
    </w:p>
    <w:p>
      <w:pPr>
        <w:pStyle w:val="Heading2"/>
        <w:spacing w:after="130" w:before="280"/>
      </w:pPr>
      <w:r>
        <w:rPr>
          <w:rFonts w:ascii="Calibri" w:cs="Calibri" w:eastAsia="Calibri" w:hAnsi="Calibri"/>
          <w:b/>
          <w:bCs/>
          <w:color w:val="2E5496"/>
          <w:sz w:val="25"/>
          <w:szCs w:val="25"/>
        </w:rPr>
        <w:t xml:space="preserve">8.3  A1 — Matched-pair contrast on vegetation condition  [H1, PRIMARY]</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200"/>
        <w:gridCol w:w="6820"/>
      </w:tblGrid>
      <w:tr>
        <w:trPr>
          <w:tblHeader/>
        </w:trPr>
        <w:tc>
          <w:tcPr>
            <w:tcW w:type="dxa" w:w="22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c>
          <w:tcPr>
            <w:tcW w:type="dxa" w:w="68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r>
      <w:tr>
        <w:tc>
          <w:tcPr>
            <w:tcW w:type="dxa" w:w="22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Analysis name</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Matched-pair contrast on vegetation condition</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Outcome</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VCI, seven-year mean, over the site’s POLYGON — drawn at settlements, translated at controls (§7.1a). Condition form, built-up masked. Configuration comes from the common 150 m circle at every site.</w:t>
            </w:r>
          </w:p>
        </w:tc>
      </w:tr>
      <w:tr>
        <w:tc>
          <w:tcPr>
            <w:tcW w:type="dxa" w:w="22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Unit</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Site. 848 rows.</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Specification</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Linear model of VCI on SITE_TYPE with quartet fixed effects, built fraction, elevation, slope, tree cover, population and n_clear as covariates; standard errors clustered at site. Polygon area and shape need no adjustment here, because they are IDENTICAL within a quartet — settlement and controls share one shape by construction — so the quartet fixed effect absorbs them entirely.</w:t>
            </w:r>
          </w:p>
        </w:tc>
      </w:tr>
      <w:tr>
        <w:tc>
          <w:tcPr>
            <w:tcW w:type="dxa" w:w="22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Estimand</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β₁, the mean difference in VCI between a settlement and its matched controls, in index units.</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How to read it</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positive β₁ with an interval excluding zero means settlements hold better vegetation condition than their matched neighbours. Report β₁, its 95% interval, the detectable difference (0.22 SD), and n.</w:t>
            </w:r>
          </w:p>
        </w:tc>
      </w:tr>
      <w:tr>
        <w:tc>
          <w:tcPr>
            <w:tcW w:type="dxa" w:w="22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Also report</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same model run separately on each of the four dimension scores, so a reader can see which dimensions carry the result. This is figure F4 and it matters: a result carried entirely by productivity and structure is exactly what site selection predicts.</w:t>
            </w:r>
          </w:p>
        </w:tc>
      </w:tr>
    </w:tbl>
    <w:p>
      <w:pPr>
        <w:spacing w:after="140"/>
      </w:pPr>
    </w:p>
    <w:p>
      <w:pPr>
        <w:pStyle w:val="Heading2"/>
        <w:spacing w:after="130" w:before="280"/>
      </w:pPr>
      <w:r>
        <w:rPr>
          <w:rFonts w:ascii="Calibri" w:cs="Calibri" w:eastAsia="Calibri" w:hAnsi="Calibri"/>
          <w:b/>
          <w:bCs/>
          <w:color w:val="2E5496"/>
          <w:sz w:val="25"/>
          <w:szCs w:val="25"/>
        </w:rPr>
        <w:t xml:space="preserve">8.4  A2 — Equivalence test on provisioning capacity  [H2, PRIMARY]</w:t>
      </w:r>
    </w:p>
    <w:tbl>
      <w:tblPr>
        <w:tblW w:type="dxa" w:w="9020"/>
        <w:tblBorders>
          <w:top w:val="none" w:color="FFFFFF" w:sz="0"/>
          <w:left w:val="single" w:color="C0504D" w:sz="18"/>
          <w:bottom w:val="none" w:color="FFFFFF" w:sz="0"/>
          <w:right w:val="none" w:color="FFFFFF" w:sz="0"/>
          <w:insideH w:val="none" w:color="FFFFFF" w:sz="0"/>
          <w:insideV w:val="none" w:color="FFFFFF" w:sz="0"/>
        </w:tblBorders>
      </w:tblPr>
      <w:tblGrid>
        <w:gridCol w:w="9020"/>
      </w:tblGrid>
      <w:tr>
        <w:tc>
          <w:tcPr>
            <w:tcW w:type="dxa" w:w="9020"/>
            <w:shd w:fill="FDECEC" w:color="auto" w:val="clear"/>
            <w:tcMar>
              <w:top w:type="dxa" w:w="150"/>
              <w:left w:type="dxa" w:w="180"/>
              <w:bottom w:type="dxa" w:w="150"/>
              <w:right w:type="dxa" w:w="180"/>
            </w:tcMar>
          </w:tcPr>
          <w:p>
            <w:pPr>
              <w:spacing w:after="90"/>
            </w:pPr>
            <w:r>
              <w:rPr>
                <w:rFonts w:ascii="Calibri" w:cs="Calibri" w:eastAsia="Calibri" w:hAnsi="Calibri"/>
                <w:b/>
                <w:bCs/>
                <w:color w:val="C0504D"/>
                <w:sz w:val="21"/>
                <w:szCs w:val="21"/>
              </w:rPr>
              <w:t xml:space="preserve">This was tested wrongly in version 1.0</w:t>
            </w:r>
          </w:p>
          <w:p>
            <w:pPr>
              <w:spacing w:after="90" w:line="276"/>
              <w:jc w:val="both"/>
            </w:pPr>
            <w:r>
              <w:rPr>
                <w:rFonts w:ascii="Calibri" w:cs="Calibri" w:eastAsia="Calibri" w:hAnsi="Calibri"/>
                <w:sz w:val="20"/>
                <w:szCs w:val="20"/>
              </w:rPr>
              <w:t xml:space="preserve">H2 claims that provisioning is NOT LOWER. Version 1.0 treated that as an ordinary null test — run the model, fail to reject, conclude no difference. That is invalid: failing to find a difference is not evidence that none exists, and with enough noise any study can "prove" equivalence by being imprecise.</w:t>
            </w:r>
          </w:p>
          <w:p>
            <w:pPr>
              <w:spacing w:after="90" w:line="276"/>
              <w:jc w:val="both"/>
            </w:pPr>
            <w:r>
              <w:rPr>
                <w:rFonts w:ascii="Calibri" w:cs="Calibri" w:eastAsia="Calibri" w:hAnsi="Calibri"/>
                <w:sz w:val="20"/>
                <w:szCs w:val="20"/>
              </w:rPr>
              <w:t xml:space="preserve">The correct instrument is an EQUIVALENCE TEST with a declared margin, using two one-sided tests.</w:t>
            </w:r>
          </w:p>
        </w:tc>
      </w:tr>
    </w:tbl>
    <w:p>
      <w:pPr>
        <w:spacing w:after="140"/>
      </w:pP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200"/>
        <w:gridCol w:w="6820"/>
      </w:tblGrid>
      <w:tr>
        <w:trPr>
          <w:tblHeader/>
        </w:trPr>
        <w:tc>
          <w:tcPr>
            <w:tcW w:type="dxa" w:w="22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c>
          <w:tcPr>
            <w:tcW w:type="dxa" w:w="68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r>
      <w:tr>
        <w:tc>
          <w:tcPr>
            <w:tcW w:type="dxa" w:w="22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Analysis name</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Equivalence test on provisioning capacity (two one-sided tests)</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Outcome</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PCI, seven-year mean, 150 m primary zone, full zone unmasked</w:t>
            </w:r>
          </w:p>
        </w:tc>
      </w:tr>
      <w:tr>
        <w:tc>
          <w:tcPr>
            <w:tcW w:type="dxa" w:w="22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Equivalence margin</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δ = 0.15 standard deviations, DECLARED IN ADVANCE. Justify it in the thesis as the smallest reduction in provisioning capacity that would materially qualify the claim.</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Specification</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same model as A1, with PCI as the outcome. Then test both one-sided hypotheses at the 5% level: that the difference is below −δ, and that it is above +δ.</w:t>
            </w:r>
          </w:p>
        </w:tc>
      </w:tr>
      <w:tr>
        <w:tc>
          <w:tcPr>
            <w:tcW w:type="dxa" w:w="22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How to read it</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If BOTH one-sided tests reject, provisioning is statistically equivalent within the margin, and H2 is supported. If the lower test fails to reject, a meaningful decline cannot be excluded — report that plainly rather than as "no difference".</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Reporting rule</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Report the point estimate with its 90% interval (the interval that corresponds to two one-sided tests at 5%) alongside the margin, so a reader can see the comparison directly.</w:t>
            </w:r>
          </w:p>
        </w:tc>
      </w:tr>
    </w:tbl>
    <w:p>
      <w:pPr>
        <w:spacing w:after="140"/>
      </w:pPr>
    </w:p>
    <w:p>
      <w:pPr>
        <w:pStyle w:val="Heading2"/>
        <w:spacing w:after="130" w:before="280"/>
      </w:pPr>
      <w:r>
        <w:rPr>
          <w:rFonts w:ascii="Calibri" w:cs="Calibri" w:eastAsia="Calibri" w:hAnsi="Calibri"/>
          <w:b/>
          <w:bCs/>
          <w:color w:val="2E5496"/>
          <w:sz w:val="25"/>
          <w:szCs w:val="25"/>
        </w:rPr>
        <w:t xml:space="preserve">8.5  A3 — Distance-interaction model  [H3]</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200"/>
        <w:gridCol w:w="6820"/>
      </w:tblGrid>
      <w:tr>
        <w:trPr>
          <w:tblHeader/>
        </w:trPr>
        <w:tc>
          <w:tcPr>
            <w:tcW w:type="dxa" w:w="22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c>
          <w:tcPr>
            <w:tcW w:type="dxa" w:w="68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r>
      <w:tr>
        <w:tc>
          <w:tcPr>
            <w:tcW w:type="dxa" w:w="22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Analysis name</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Distance-interaction model (radial gradient)</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Outcome</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VCI computed per ring, seven-year mean</w:t>
            </w:r>
          </w:p>
        </w:tc>
      </w:tr>
      <w:tr>
        <w:tc>
          <w:tcPr>
            <w:tcW w:type="dxa" w:w="22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Unit</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Site-ring. Up to 848 × 5 = 4,240 rows, fewer where a ring failed the 30-pixel gate.</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Specification</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VCI ~ SITE_TYPE × RING + built fraction + covariates + quartet fixed effects, clustered at site. RING as an ordered factor.</w:t>
            </w:r>
          </w:p>
        </w:tc>
      </w:tr>
      <w:tr>
        <w:tc>
          <w:tcPr>
            <w:tcW w:type="dxa" w:w="22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Estimand</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interaction terms. A settlement advantage that is LARGER in the inner rings than the outer ones is the spatial signature of something radiating from the settlement — and choosing a good parcel does not produce that pattern.</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IMPORTANT LIMITATION</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This analysis covers THREE dimensions — productivity, persistence and structure — NOT four. The configuration metrics use a 70 m moving window, 140 m across, which is wider than three of the five rings; a per-ring configuration value would be a blend of its neighbours. Version 1.0 of this plan did not say so. Compute the ring-level index from VCI-P, VCI-S and VCI-T only, and state that in the thesis.</w:t>
            </w:r>
          </w:p>
        </w:tc>
      </w:tr>
    </w:tbl>
    <w:p>
      <w:pPr>
        <w:spacing w:after="140"/>
      </w:pPr>
    </w:p>
    <w:p>
      <w:pPr>
        <w:pStyle w:val="Heading2"/>
        <w:spacing w:after="130" w:before="280"/>
      </w:pPr>
      <w:r>
        <w:rPr>
          <w:rFonts w:ascii="Calibri" w:cs="Calibri" w:eastAsia="Calibri" w:hAnsi="Calibri"/>
          <w:b/>
          <w:bCs/>
          <w:color w:val="2E5496"/>
          <w:sz w:val="25"/>
          <w:szCs w:val="25"/>
        </w:rPr>
        <w:t xml:space="preserve">8.6  A4 — Age-interaction model with penalised smooth  [H4]</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200"/>
        <w:gridCol w:w="6820"/>
      </w:tblGrid>
      <w:tr>
        <w:trPr>
          <w:tblHeader/>
        </w:trPr>
        <w:tc>
          <w:tcPr>
            <w:tcW w:type="dxa" w:w="22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c>
          <w:tcPr>
            <w:tcW w:type="dxa" w:w="68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r>
      <w:tr>
        <w:tc>
          <w:tcPr>
            <w:tcW w:type="dxa" w:w="22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Analysis name</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Age-interaction model with penalised smooth</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Outcome</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VCI, seven-year mean</w:t>
            </w:r>
          </w:p>
        </w:tc>
      </w:tr>
      <w:tr>
        <w:tc>
          <w:tcPr>
            <w:tcW w:type="dxa" w:w="22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Specification</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VCI ~ SITE_TYPE × s(ONSET_AGE) + covariates + quartet fixed effects, where s( ) is a penalised smooth. Controls carry their settlement’s onset age, so the control slope supplies the null.</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Why a smooth and not a line</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Ecological signatures saturate. A straight line would understate a real relationship that flattens after twenty years, and would misreport its shape.</w:t>
            </w:r>
          </w:p>
        </w:tc>
      </w:tr>
      <w:tr>
        <w:tc>
          <w:tcPr>
            <w:tcW w:type="dxa" w:w="22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Why the control slope matters</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settlement slope reported alone would be uninterpretable, because a common temporal trend across all sites would produce one. The estimand is the DIFFERENCE between the settlement and control slopes.</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Confounders to include and name</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Founding decade (cohort), population (size) and activity tier. Older communities differ from younger ones in more ways than age, and the three most obvious are named in the thesis rather than left implicit.</w:t>
            </w:r>
          </w:p>
        </w:tc>
      </w:tr>
      <w:tr>
        <w:tc>
          <w:tcPr>
            <w:tcW w:type="dxa" w:w="22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Onset uncertainty</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Propagate the coded uncertainty band by multiple imputation across each community’s plausible onset range, so a community with a ±5-year band contributes less than one with a ±1-year band.</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Reporting language, fixed now</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Report as "an observed pattern across communities of different ages", NEVER as "what happens to a community over time". This is a space-for-time substitution and its assumptions are only partly met.</w:t>
            </w:r>
          </w:p>
        </w:tc>
      </w:tr>
    </w:tbl>
    <w:p>
      <w:pPr>
        <w:spacing w:after="140"/>
      </w:pPr>
    </w:p>
    <w:p>
      <w:pPr>
        <w:pStyle w:val="Heading2"/>
        <w:spacing w:after="130" w:before="280"/>
      </w:pPr>
      <w:r>
        <w:rPr>
          <w:rFonts w:ascii="Calibri" w:cs="Calibri" w:eastAsia="Calibri" w:hAnsi="Calibri"/>
          <w:b/>
          <w:bCs/>
          <w:color w:val="2E5496"/>
          <w:sz w:val="25"/>
          <w:szCs w:val="25"/>
        </w:rPr>
        <w:t xml:space="preserve">8.7  A5 — Restricted contrast on management-diagnostic metrics  [H5]</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200"/>
        <w:gridCol w:w="6820"/>
      </w:tblGrid>
      <w:tr>
        <w:trPr>
          <w:tblHeader/>
        </w:trPr>
        <w:tc>
          <w:tcPr>
            <w:tcW w:type="dxa" w:w="22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c>
          <w:tcPr>
            <w:tcW w:type="dxa" w:w="68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r>
      <w:tr>
        <w:tc>
          <w:tcPr>
            <w:tcW w:type="dxa" w:w="22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Analysis name</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Restricted matched-pair contrast on the management-diagnostic score</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Outcome</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MDS — the arithmetic mean of the seven management-dominated rescaled metrics (§6.5)</w:t>
            </w:r>
          </w:p>
        </w:tc>
      </w:tr>
      <w:tr>
        <w:tc>
          <w:tcPr>
            <w:tcW w:type="dxa" w:w="22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Specification</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Identical to A1, with MDS as the outcome.</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Why this is not a rebuilt index</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Version 1.0 asked for the four-dimension index rebuilt from M-class metrics only. That is impossible: productivity and structure contain no M-class metrics, so no four-dimension geometric mean can be formed. MDS is a single scale and is described as one.</w:t>
            </w:r>
          </w:p>
        </w:tc>
      </w:tr>
      <w:tr>
        <w:tc>
          <w:tcPr>
            <w:tcW w:type="dxa" w:w="22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How to read it</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Survival here is the strongest single answer to the site-selection objection. You cannot buy a parcel that is already never ploughed, or one that already grows several crops greening at different times. If the advantage appears in the full index but not in MDS, report it as consistent with site selection.</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Also report</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six metrics individually, so a reader can see whether MDS is carried by one metric or by several.</w:t>
            </w:r>
          </w:p>
        </w:tc>
      </w:tr>
    </w:tbl>
    <w:p>
      <w:pPr>
        <w:spacing w:after="140"/>
      </w:pPr>
    </w:p>
    <w:p>
      <w:pPr>
        <w:pStyle w:val="Heading2"/>
        <w:spacing w:after="130" w:before="280"/>
      </w:pPr>
      <w:r>
        <w:rPr>
          <w:rFonts w:ascii="Calibri" w:cs="Calibri" w:eastAsia="Calibri" w:hAnsi="Calibri"/>
          <w:b/>
          <w:bCs/>
          <w:color w:val="2E5496"/>
          <w:sz w:val="25"/>
          <w:szCs w:val="25"/>
        </w:rPr>
        <w:t xml:space="preserve">8.8  A6 — Claims-versus-delivery comparison  [H6]</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200"/>
        <w:gridCol w:w="6820"/>
      </w:tblGrid>
      <w:tr>
        <w:trPr>
          <w:tblHeader/>
        </w:trPr>
        <w:tc>
          <w:tcPr>
            <w:tcW w:type="dxa" w:w="22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c>
          <w:tcPr>
            <w:tcW w:type="dxa" w:w="68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r>
      <w:tr>
        <w:tc>
          <w:tcPr>
            <w:tcW w:type="dxa" w:w="22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Analysis name</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Within-settlement claims-versus-delivery comparison</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Sample</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Settlements only. 212 rows, fewer per code where the practice could not be coded.</w:t>
            </w:r>
          </w:p>
        </w:tc>
      </w:tr>
      <w:tr>
        <w:tc>
          <w:tcPr>
            <w:tcW w:type="dxa" w:w="22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Specification</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For each practice code with adequate prevalence, compare the predicted signature between settlements claiming the practice and settlements not claiming it, with stratum fixed effects. Use the mapping frozen in Stage 1 and do not alter it now.</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Prevalence rule</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Test only codes claimed by between 25% and 75% of settlements. A practice claimed by 90% supports only a very large effect test; codes outside the band are reported descriptively and identified as underpowered.</w:t>
            </w:r>
          </w:p>
        </w:tc>
      </w:tr>
      <w:tr>
        <w:tc>
          <w:tcPr>
            <w:tcW w:type="dxa" w:w="22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Two comparisons, both reported</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primary comparison uses the CLAIMED coding level, because a claim is what the study tests. A parallel comparison restricted to EVIDENCED and DOCUMENTED levels is reported alongside — and the difference between the two is itself a result. If delivery tracks evidenced practice but not merely claimed practice, that is a finding about the relationship between what communities say and what they do.</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Multiplicity</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False discovery rate control across the tested codes. Report raw and adjusted values.</w:t>
            </w:r>
          </w:p>
        </w:tc>
      </w:tr>
    </w:tbl>
    <w:p>
      <w:pPr>
        <w:spacing w:after="140"/>
      </w:pPr>
    </w:p>
    <w:p>
      <w:pPr>
        <w:pStyle w:val="Heading2"/>
        <w:spacing w:after="130" w:before="280"/>
      </w:pPr>
      <w:r>
        <w:rPr>
          <w:rFonts w:ascii="Calibri" w:cs="Calibri" w:eastAsia="Calibri" w:hAnsi="Calibri"/>
          <w:b/>
          <w:bCs/>
          <w:color w:val="2E5496"/>
          <w:sz w:val="25"/>
          <w:szCs w:val="25"/>
        </w:rPr>
        <w:t xml:space="preserve">8.9  A7 — Density-matched comparison against held-out semi-urban sites  [H7]</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200"/>
        <w:gridCol w:w="6820"/>
      </w:tblGrid>
      <w:tr>
        <w:trPr>
          <w:tblHeader/>
        </w:trPr>
        <w:tc>
          <w:tcPr>
            <w:tcW w:type="dxa" w:w="22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c>
          <w:tcPr>
            <w:tcW w:type="dxa" w:w="68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r>
      <w:tr>
        <w:tc>
          <w:tcPr>
            <w:tcW w:type="dxa" w:w="22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Analysis name</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Density-matched comparison against held-out semi-urban reference sites</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Sample</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212 settlements against the HELD-OUT third of the semi-urban pool (§6.2), matched on built fraction within stratum.</w:t>
            </w:r>
          </w:p>
        </w:tc>
      </w:tr>
      <w:tr>
        <w:tc>
          <w:tcPr>
            <w:tcW w:type="dxa" w:w="22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Why held-out</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reference two-thirds define the floor of the condition scale. Comparing settlements against those same sites would be circular — they score near zero by construction. This correction is one of the four serious fixes in version 2.0.</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Specification</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Match each settlement to the nearest available held-out semi-urban site on built fraction within the same climate group and biome. Compare VCI with stratum fixed effects.</w:t>
            </w:r>
          </w:p>
        </w:tc>
      </w:tr>
      <w:tr>
        <w:tc>
          <w:tcPr>
            <w:tcW w:type="dxa" w:w="22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How to read it</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If settlements are indistinguishable from density-matched semi-urban sites, what the study measured is low density, not intentional design. If settlements exceed them, density alone does not account for the result.</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Honest note</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This is among the least well powered analyses in the study (detectable difference around 0.40 SD, second only to A4 at 0.44) and the matching is on one variable only. Report it as a check on an alternative explanation, not as a finding in its own right.</w:t>
            </w:r>
          </w:p>
        </w:tc>
      </w:tr>
    </w:tbl>
    <w:p>
      <w:pPr>
        <w:spacing w:after="140"/>
      </w:pPr>
    </w:p>
    <w:p>
      <w:pPr>
        <w:pStyle w:val="Heading2"/>
        <w:spacing w:after="130" w:before="280"/>
      </w:pPr>
      <w:r>
        <w:rPr>
          <w:rFonts w:ascii="Calibri" w:cs="Calibri" w:eastAsia="Calibri" w:hAnsi="Calibri"/>
          <w:b/>
          <w:bCs/>
          <w:color w:val="2E5496"/>
          <w:sz w:val="25"/>
          <w:szCs w:val="25"/>
        </w:rPr>
        <w:t xml:space="preserve">8.10  A8 — Pre-onset difference-in-differences  [H8]</w:t>
      </w:r>
    </w:p>
    <w:tbl>
      <w:tblPr>
        <w:tblW w:type="dxa" w:w="9020"/>
        <w:tblBorders>
          <w:top w:val="none" w:color="FFFFFF" w:sz="0"/>
          <w:left w:val="single" w:color="2E5496" w:sz="18"/>
          <w:bottom w:val="none" w:color="FFFFFF" w:sz="0"/>
          <w:right w:val="none" w:color="FFFFFF" w:sz="0"/>
          <w:insideH w:val="none" w:color="FFFFFF" w:sz="0"/>
          <w:insideV w:val="none" w:color="FFFFFF" w:sz="0"/>
        </w:tblBorders>
      </w:tblPr>
      <w:tblGrid>
        <w:gridCol w:w="9020"/>
      </w:tblGrid>
      <w:tr>
        <w:tc>
          <w:tcPr>
            <w:tcW w:type="dxa" w:w="9020"/>
            <w:shd w:fill="EAF1FB" w:color="auto" w:val="clear"/>
            <w:tcMar>
              <w:top w:type="dxa" w:w="150"/>
              <w:left w:type="dxa" w:w="180"/>
              <w:bottom w:type="dxa" w:w="150"/>
              <w:right w:type="dxa" w:w="180"/>
            </w:tcMar>
          </w:tcPr>
          <w:p>
            <w:pPr>
              <w:spacing w:after="90"/>
            </w:pPr>
            <w:r>
              <w:rPr>
                <w:rFonts w:ascii="Calibri" w:cs="Calibri" w:eastAsia="Calibri" w:hAnsi="Calibri"/>
                <w:b/>
                <w:bCs/>
                <w:color w:val="2E5496"/>
                <w:sz w:val="21"/>
                <w:szCs w:val="21"/>
              </w:rPr>
              <w:t xml:space="preserve">What makes this different from every other analysis in the study</w:t>
            </w:r>
          </w:p>
          <w:p>
            <w:pPr>
              <w:spacing w:after="90" w:line="276"/>
              <w:jc w:val="both"/>
            </w:pPr>
            <w:r>
              <w:rPr>
                <w:rFonts w:ascii="Calibri" w:cs="Calibri" w:eastAsia="Calibri" w:hAnsi="Calibri"/>
                <w:sz w:val="20"/>
                <w:szCs w:val="20"/>
              </w:rPr>
              <w:t xml:space="preserve">Analyses A1 to A7 all compare settlements against controls at one moment and then argue that the difference is unlikely to be site selection. A8 observes the same land BEFORE and AFTER the intervention began.</w:t>
            </w:r>
          </w:p>
          <w:p>
            <w:pPr>
              <w:spacing w:after="90" w:line="276"/>
              <w:jc w:val="both"/>
            </w:pPr>
            <w:r>
              <w:rPr>
                <w:rFonts w:ascii="Calibri" w:cs="Calibri" w:eastAsia="Calibri" w:hAnsi="Calibri"/>
                <w:sz w:val="20"/>
                <w:szCs w:val="20"/>
              </w:rPr>
              <w:t xml:space="preserve">That changes what can be claimed. Each site is compared with ITSELF, so everything fixed about it — soil, slope, aspect, parcel history, whatever the founders saw in it — cancels out of the estimate. Site selection cannot produce a CHANGE at the moment of onset.</w:t>
            </w:r>
          </w:p>
          <w:p>
            <w:pPr>
              <w:spacing w:after="90" w:line="276"/>
              <w:jc w:val="both"/>
            </w:pPr>
            <w:r>
              <w:rPr>
                <w:rFonts w:ascii="Calibri" w:cs="Calibri" w:eastAsia="Calibri" w:hAnsi="Calibri"/>
                <w:sz w:val="20"/>
                <w:szCs w:val="20"/>
              </w:rPr>
              <w:t xml:space="preserve">And with three pre-onset years, the identifying assumption becomes TESTABLE. If settlements and their controls were already diverging before onset, you will see it. No other component of this study can check its own assumption.</w:t>
            </w:r>
          </w:p>
        </w:tc>
      </w:tr>
    </w:tbl>
    <w:p>
      <w:pPr>
        <w:spacing w:after="140"/>
      </w:pPr>
    </w:p>
    <w:p>
      <w:pPr>
        <w:pStyle w:val="Heading3"/>
        <w:spacing w:after="110" w:before="220"/>
      </w:pPr>
      <w:r>
        <w:rPr>
          <w:rFonts w:ascii="Calibri" w:cs="Calibri" w:eastAsia="Calibri" w:hAnsi="Calibri"/>
          <w:b/>
          <w:bCs/>
          <w:color w:val="2E5496"/>
          <w:sz w:val="22"/>
          <w:szCs w:val="22"/>
        </w:rPr>
        <w:t xml:space="preserve">The design — asymmetric windows, aligned to each community’s own onset</w:t>
      </w:r>
    </w:p>
    <w:tbl>
      <w:tblPr>
        <w:tblW w:type="dxa" w:w="9020"/>
        <w:tblBorders>
          <w:top w:val="none" w:color="FFFFFF" w:sz="0"/>
          <w:left w:val="single" w:color="2E5496" w:sz="18"/>
          <w:bottom w:val="none" w:color="FFFFFF" w:sz="0"/>
          <w:right w:val="none" w:color="FFFFFF" w:sz="0"/>
          <w:insideH w:val="none" w:color="FFFFFF" w:sz="0"/>
          <w:insideV w:val="none" w:color="FFFFFF" w:sz="0"/>
        </w:tblBorders>
      </w:tblPr>
      <w:tblGrid>
        <w:gridCol w:w="9020"/>
      </w:tblGrid>
      <w:tr>
        <w:tc>
          <w:tcPr>
            <w:tcW w:type="dxa" w:w="9020"/>
            <w:shd w:fill="EAF1FB" w:color="auto" w:val="clear"/>
            <w:tcMar>
              <w:top w:type="dxa" w:w="150"/>
              <w:left w:type="dxa" w:w="180"/>
              <w:bottom w:type="dxa" w:w="150"/>
              <w:right w:type="dxa" w:w="180"/>
            </w:tcMar>
          </w:tcPr>
          <w:p>
            <w:pPr>
              <w:spacing w:after="90"/>
            </w:pPr>
            <w:r>
              <w:rPr>
                <w:rFonts w:ascii="Calibri" w:cs="Calibri" w:eastAsia="Calibri" w:hAnsi="Calibri"/>
                <w:b/>
                <w:bCs/>
                <w:color w:val="2E5496"/>
                <w:sz w:val="21"/>
                <w:szCs w:val="21"/>
              </w:rPr>
              <w:t xml:space="preserve">Why the before and after windows are NOT the same length</w:t>
            </w:r>
          </w:p>
          <w:p>
            <w:pPr>
              <w:spacing w:after="90" w:line="276"/>
              <w:jc w:val="both"/>
            </w:pPr>
            <w:r>
              <w:rPr>
                <w:rFonts w:ascii="Calibri" w:cs="Calibri" w:eastAsia="Calibri" w:hAnsi="Calibri"/>
                <w:sz w:val="20"/>
                <w:szCs w:val="20"/>
              </w:rPr>
              <w:t xml:space="preserve">Version 3.0 used three years before and three years after. That was a mistake of symmetry rather than of reasoning: nothing in a difference-in-differences requires the two windows to match.</w:t>
            </w:r>
          </w:p>
          <w:p>
            <w:pPr>
              <w:spacing w:after="90" w:line="276"/>
              <w:jc w:val="both"/>
            </w:pPr>
            <w:r>
              <w:rPr>
                <w:rFonts w:ascii="Calibri" w:cs="Calibri" w:eastAsia="Calibri" w:hAnsi="Calibri"/>
                <w:sz w:val="20"/>
                <w:szCs w:val="20"/>
              </w:rPr>
              <w:t xml:space="preserve">Three years is ample to establish a baseline — the land was not changing, and two or three observations fix that. Three years is NOT ample to see the effect. Cover cropping and mulching respond in one or two seasons, but pasture restoration takes two to five years, agroforestry understory three to four, and tree crown cover three to eight in humid climates and longer in dry ones. A three-year post-window measures the beginning of the change, not the change.</w:t>
            </w:r>
          </w:p>
          <w:p>
            <w:pPr>
              <w:spacing w:after="90" w:line="276"/>
              <w:jc w:val="both"/>
            </w:pPr>
            <w:r>
              <w:rPr>
                <w:rFonts w:ascii="Calibri" w:cs="Calibri" w:eastAsia="Calibri" w:hAnsi="Calibri"/>
                <w:sz w:val="20"/>
                <w:szCs w:val="20"/>
              </w:rPr>
              <w:t xml:space="preserve">Version 3.1 therefore uses THREE pre-onset years and FOUR post-onset years. The extra post-year raises the average effect by about a quarter while costing about six per cent in precision — a net gain of roughly a third.</w:t>
            </w:r>
          </w:p>
        </w:tc>
      </w:tr>
    </w:tbl>
    <w:p>
      <w:pPr>
        <w:spacing w:after="140"/>
      </w:pPr>
    </w:p>
    <w:p>
      <w:pPr>
        <w:spacing w:after="120" w:line="276"/>
        <w:jc w:val="both"/>
      </w:pPr>
      <w:r>
        <w:rPr>
          <w:rFonts w:ascii="Calibri" w:cs="Calibri" w:eastAsia="Calibri" w:hAnsi="Calibri"/>
          <w:b w:val="false"/>
          <w:bCs w:val="false"/>
          <w:i w:val="false"/>
          <w:iCs w:val="false"/>
          <w:color w:val="000000"/>
          <w:sz w:val="21"/>
          <w:szCs w:val="21"/>
        </w:rPr>
        <w:t xml:space="preserve">Each community’s windows are aligned to ITS OWN onset year rather than to the calendar. Event time is defined as the calendar year minus the onset year, so τ = −1 is the year before onset at every site regardless of when that was. The onset year itself (τ = 0) is dropped as a transition, because work beginning in March 2021 makes 2021 neither a clean before nor a clean after.</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1400"/>
        <w:gridCol w:w="2000"/>
        <w:gridCol w:w="1200"/>
        <w:gridCol w:w="2200"/>
        <w:gridCol w:w="2220"/>
      </w:tblGrid>
      <w:tr>
        <w:trPr>
          <w:tblHeader/>
        </w:trPr>
        <w:tc>
          <w:tcPr>
            <w:tcW w:type="dxa" w:w="14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Onset</w:t>
            </w:r>
          </w:p>
        </w:tc>
        <w:tc>
          <w:tcPr>
            <w:tcW w:type="dxa" w:w="20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Pre-period (τ −3…−1)</w:t>
            </w:r>
          </w:p>
        </w:tc>
        <w:tc>
          <w:tcPr>
            <w:tcW w:type="dxa" w:w="12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Skipped</w:t>
            </w:r>
          </w:p>
        </w:tc>
        <w:tc>
          <w:tcPr>
            <w:tcW w:type="dxa" w:w="22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Post-period (τ +1…+4)</w:t>
            </w:r>
          </w:p>
        </w:tc>
        <w:tc>
          <w:tcPr>
            <w:tcW w:type="dxa" w:w="22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Status</w:t>
            </w:r>
          </w:p>
        </w:tc>
      </w:tr>
      <w:tr>
        <w:tc>
          <w:tcPr>
            <w:tcW w:type="dxa" w:w="1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2020</w:t>
            </w:r>
          </w:p>
        </w:tc>
        <w:tc>
          <w:tcPr>
            <w:tcW w:type="dxa" w:w="20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2017, 2018, 2019</w:t>
            </w:r>
          </w:p>
        </w:tc>
        <w:tc>
          <w:tcPr>
            <w:tcW w:type="dxa" w:w="1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2020</w:t>
            </w:r>
          </w:p>
        </w:tc>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2021, 2022, 2023, 2024</w:t>
            </w:r>
          </w:p>
        </w:tc>
        <w:tc>
          <w:tcPr>
            <w:tcW w:type="dxa" w:w="22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CORE</w:t>
            </w:r>
          </w:p>
        </w:tc>
      </w:tr>
      <w:tr>
        <w:tc>
          <w:tcPr>
            <w:tcW w:type="dxa" w:w="1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2021</w:t>
            </w:r>
          </w:p>
        </w:tc>
        <w:tc>
          <w:tcPr>
            <w:tcW w:type="dxa" w:w="20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2018, 2019, 2020</w:t>
            </w:r>
          </w:p>
        </w:tc>
        <w:tc>
          <w:tcPr>
            <w:tcW w:type="dxa" w:w="1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2021</w:t>
            </w:r>
          </w:p>
        </w:tc>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2022, 2023, 2024, 2025</w:t>
            </w:r>
          </w:p>
        </w:tc>
        <w:tc>
          <w:tcPr>
            <w:tcW w:type="dxa" w:w="22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CORE</w:t>
            </w:r>
          </w:p>
        </w:tc>
      </w:tr>
      <w:tr>
        <w:tc>
          <w:tcPr>
            <w:tcW w:type="dxa" w:w="1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2019</w:t>
            </w:r>
          </w:p>
        </w:tc>
        <w:tc>
          <w:tcPr>
            <w:tcW w:type="dxa" w:w="20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2017, 2018 only</w:t>
            </w:r>
          </w:p>
        </w:tc>
        <w:tc>
          <w:tcPr>
            <w:tcW w:type="dxa" w:w="1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2019</w:t>
            </w:r>
          </w:p>
        </w:tc>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2020, 2021, 2022, 2023</w:t>
            </w:r>
          </w:p>
        </w:tc>
        <w:tc>
          <w:tcPr>
            <w:tcW w:type="dxa" w:w="22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EXTENSION — 2 pre-years only</w:t>
            </w:r>
          </w:p>
        </w:tc>
      </w:tr>
    </w:tbl>
    <w:p>
      <w:pPr>
        <w:spacing w:after="120"/>
      </w:pPr>
    </w:p>
    <w:p>
      <w:pPr>
        <w:pStyle w:val="Heading3"/>
        <w:spacing w:after="110" w:before="220"/>
      </w:pPr>
      <w:r>
        <w:rPr>
          <w:rFonts w:ascii="Calibri" w:cs="Calibri" w:eastAsia="Calibri" w:hAnsi="Calibri"/>
          <w:b/>
          <w:bCs/>
          <w:color w:val="2E5496"/>
          <w:sz w:val="22"/>
          <w:szCs w:val="22"/>
        </w:rPr>
        <w:t xml:space="preserve">Why the core is 2020–2021 and not 2019 or 2022</w:t>
      </w:r>
    </w:p>
    <w:p>
      <w:pPr>
        <w:spacing w:after="120" w:line="276"/>
        <w:jc w:val="both"/>
      </w:pPr>
      <w:r>
        <w:rPr>
          <w:rFonts w:ascii="Calibri" w:cs="Calibri" w:eastAsia="Calibri" w:hAnsi="Calibri"/>
          <w:b w:val="false"/>
          <w:bCs w:val="false"/>
          <w:i w:val="false"/>
          <w:iCs w:val="false"/>
          <w:color w:val="000000"/>
          <w:sz w:val="21"/>
          <w:szCs w:val="21"/>
        </w:rPr>
        <w:t xml:space="preserve">Each onset year offers a different trade between pre-years and post-years inside the fixed 2017–2025 window. More post-years mean a larger effect; more pre-years mean a firmer baseline and a stronger test of the assumption. The arithmetic settles it.</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1800"/>
        <w:gridCol w:w="1600"/>
        <w:gridCol w:w="1600"/>
        <w:gridCol w:w="4020"/>
      </w:tblGrid>
      <w:tr>
        <w:trPr>
          <w:tblHeader/>
        </w:trPr>
        <w:tc>
          <w:tcPr>
            <w:tcW w:type="dxa" w:w="18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Onset range</w:t>
            </w:r>
          </w:p>
        </w:tc>
        <w:tc>
          <w:tcPr>
            <w:tcW w:type="dxa" w:w="16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Balanced window</w:t>
            </w:r>
          </w:p>
        </w:tc>
        <w:tc>
          <w:tcPr>
            <w:tcW w:type="dxa" w:w="16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Net gain vs 3/3</w:t>
            </w:r>
          </w:p>
        </w:tc>
        <w:tc>
          <w:tcPr>
            <w:tcW w:type="dxa" w:w="40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Assessment</w:t>
            </w:r>
          </w:p>
        </w:tc>
      </w:tr>
      <w:tr>
        <w:tc>
          <w:tcPr>
            <w:tcW w:type="dxa" w:w="1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2020–2021</w:t>
            </w:r>
          </w:p>
        </w:tc>
        <w:tc>
          <w:tcPr>
            <w:tcW w:type="dxa" w:w="1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3 pre / 4 post</w:t>
            </w:r>
          </w:p>
        </w:tc>
        <w:tc>
          <w:tcPr>
            <w:tcW w:type="dxa" w:w="1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1.34× better</w:t>
            </w:r>
          </w:p>
        </w:tc>
        <w:tc>
          <w:tcPr>
            <w:tcW w:type="dxa" w:w="40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ADOPTED as the core. Best balance, and two pre-trend coefficients.</w:t>
            </w:r>
          </w:p>
        </w:tc>
      </w:tr>
      <w:tr>
        <w:tc>
          <w:tcPr>
            <w:tcW w:type="dxa" w:w="1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2019–2020</w:t>
            </w:r>
          </w:p>
        </w:tc>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 pre / 5 post</w:t>
            </w:r>
          </w:p>
        </w:tc>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1.46× better</w:t>
            </w:r>
          </w:p>
        </w:tc>
        <w:tc>
          <w:tcPr>
            <w:tcW w:type="dxa" w:w="40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Slightly better on paper, but only ONE pre-trend coefficient — and the pre-trend test is why this component exists.</w:t>
            </w:r>
          </w:p>
        </w:tc>
      </w:tr>
      <w:tr>
        <w:tc>
          <w:tcPr>
            <w:tcW w:type="dxa" w:w="1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2019–2021</w:t>
            </w:r>
          </w:p>
        </w:tc>
        <w:tc>
          <w:tcPr>
            <w:tcW w:type="dxa" w:w="1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 pre / 4 post</w:t>
            </w:r>
          </w:p>
        </w:tc>
        <w:tc>
          <w:tcPr>
            <w:tcW w:type="dxa" w:w="1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1.18× better</w:t>
            </w:r>
          </w:p>
        </w:tc>
        <w:tc>
          <w:tcPr>
            <w:tcW w:type="dxa" w:w="40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Worse than the core: the lost pre-year costs more than the gained post-year.</w:t>
            </w:r>
          </w:p>
        </w:tc>
      </w:tr>
      <w:tr>
        <w:tc>
          <w:tcPr>
            <w:tcW w:type="dxa" w:w="1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2020–2022 (v3.0)</w:t>
            </w:r>
          </w:p>
        </w:tc>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3 pre / 3 post</w:t>
            </w:r>
          </w:p>
        </w:tc>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baseline</w:t>
            </w:r>
          </w:p>
        </w:tc>
        <w:tc>
          <w:tcPr>
            <w:tcW w:type="dxa" w:w="40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Superseded. Too short a post-window for anything but the fastest practices.</w:t>
            </w:r>
          </w:p>
        </w:tc>
      </w:tr>
    </w:tbl>
    <w:p>
      <w:pPr>
        <w:spacing w:after="120"/>
      </w:pPr>
    </w:p>
    <w:p>
      <w:pPr>
        <w:spacing w:after="120" w:line="276"/>
        <w:jc w:val="both"/>
      </w:pPr>
      <w:r>
        <w:rPr>
          <w:rFonts w:ascii="Calibri" w:cs="Calibri" w:eastAsia="Calibri" w:hAnsi="Calibri"/>
          <w:b/>
          <w:bCs/>
          <w:i w:val="false"/>
          <w:iCs w:val="false"/>
          <w:color w:val="000000"/>
          <w:sz w:val="21"/>
          <w:szCs w:val="21"/>
        </w:rPr>
        <w:t xml:space="preserve">Three further reasons 2019 is an extension rather than the core. </w:t>
      </w:r>
      <w:r>
        <w:rPr>
          <w:rFonts w:ascii="Calibri" w:cs="Calibri" w:eastAsia="Calibri" w:hAnsi="Calibri"/>
          <w:b w:val="false"/>
          <w:bCs w:val="false"/>
          <w:i w:val="false"/>
          <w:iCs w:val="false"/>
          <w:color w:val="000000"/>
          <w:sz w:val="21"/>
          <w:szCs w:val="21"/>
        </w:rPr>
        <w:t xml:space="preserve">A 2019 onset needs 2017 as a pre-year, and Sentinel-2B only finished commissioning around the middle of 2017 — so half that year is single-satellite and thin, worst in the tropics. It gives only ONE pre-trend coefficient, which is a weak test of the assumption the whole component rests on. And the COVID pandemic would fall entirely inside its post-period, aligning a global shock exactly with the treatment timing, which is the worst possible arrangement for a differential confounder.</w:t>
      </w:r>
    </w:p>
    <w:p>
      <w:pPr>
        <w:spacing w:after="120" w:line="276"/>
        <w:jc w:val="both"/>
      </w:pPr>
      <w:r>
        <w:rPr>
          <w:rFonts w:ascii="Calibri" w:cs="Calibri" w:eastAsia="Calibri" w:hAnsi="Calibri"/>
          <w:b w:val="false"/>
          <w:bCs w:val="false"/>
          <w:i w:val="false"/>
          <w:iCs w:val="false"/>
          <w:color w:val="000000"/>
          <w:sz w:val="21"/>
          <w:szCs w:val="21"/>
        </w:rPr>
        <w:t xml:space="preserve">Communities with onset in 2019 are therefore enumerated and extracted, contribute to the event-study figure and to the long-horizon check below, but do not enter the balanced summary. Report how many there are and what they add.</w:t>
      </w:r>
    </w:p>
    <w:p>
      <w:pPr>
        <w:pStyle w:val="Heading3"/>
        <w:spacing w:after="110" w:before="220"/>
      </w:pPr>
      <w:r>
        <w:rPr>
          <w:rFonts w:ascii="Calibri" w:cs="Calibri" w:eastAsia="Calibri" w:hAnsi="Calibri"/>
          <w:b/>
          <w:bCs/>
          <w:color w:val="2E5496"/>
          <w:sz w:val="22"/>
          <w:szCs w:val="22"/>
        </w:rPr>
        <w:t xml:space="preserve">Specification</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200"/>
        <w:gridCol w:w="6820"/>
      </w:tblGrid>
      <w:tr>
        <w:trPr>
          <w:tblHeader/>
        </w:trPr>
        <w:tc>
          <w:tcPr>
            <w:tcW w:type="dxa" w:w="22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c>
          <w:tcPr>
            <w:tcW w:type="dxa" w:w="68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r>
      <w:tr>
        <w:tc>
          <w:tcPr>
            <w:tcW w:type="dxa" w:w="22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Analysis name</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Pre-onset difference-in-differences on the longitudinal cohort</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Sample</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~65 CORE settlements with onset 2020–2021, each with 3 matched controls. ~260 sites. Plus any 2019-onset extension sites. SEPARATE from the 212 and never pooled with them.</w:t>
            </w:r>
          </w:p>
        </w:tc>
      </w:tr>
      <w:tr>
        <w:tc>
          <w:tcPr>
            <w:tcW w:type="dxa" w:w="22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Outcome</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Δ VCI = (mean VCI over the FOUR post-onset years, τ +1 to +4) − (mean VCI over the THREE pre-onset years, τ −3 to −1). One value per site.</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Unit</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Site. ~260 rows.</w:t>
            </w:r>
          </w:p>
        </w:tc>
      </w:tr>
      <w:tr>
        <w:tc>
          <w:tcPr>
            <w:tcW w:type="dxa" w:w="22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Specification</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Δ VCI ~ SITE_TYPE + built-fraction change + quartet fixed effects, clustered at site. The coefficient on SITE_TYPE is the difference-in-differences estimate.</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Estimand</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change in vegetation condition over roughly three years following onset, at settlements, relative to the change over the same calendar years at their matched controls.</w:t>
            </w:r>
          </w:p>
        </w:tc>
      </w:tr>
      <w:tr>
        <w:tc>
          <w:tcPr>
            <w:tcW w:type="dxa" w:w="22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Why this is more precise per site than A1</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site fixed effect cancels. The residual is no longer the between-site variation of 0.089 NDVI but the INTERANNUAL variation, which for a three-pre / four-post difference is roughly 0.015 to 0.031 — three to six times smaller. At 65 core sites that gives a detectable difference of about 0.006 to 0.012 NDVI, against an expected four-year effect of roughly 0.009 to 0.026.</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Rescaling note</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Because rescaling is a linear transformation with stratum-constant anchors, the DiD estimate in rescaled units is simply the raw change divided by the stratum range. Rescale anyway, so that estimates from different strata can be pooled.</w:t>
            </w:r>
          </w:p>
        </w:tc>
      </w:tr>
    </w:tbl>
    <w:p>
      <w:pPr>
        <w:spacing w:after="140"/>
      </w:pPr>
    </w:p>
    <w:p>
      <w:pPr>
        <w:pStyle w:val="Heading3"/>
        <w:spacing w:after="110" w:before="220"/>
      </w:pPr>
      <w:r>
        <w:rPr>
          <w:rFonts w:ascii="Calibri" w:cs="Calibri" w:eastAsia="Calibri" w:hAnsi="Calibri"/>
          <w:b/>
          <w:bCs/>
          <w:color w:val="2E5496"/>
          <w:sz w:val="22"/>
          <w:szCs w:val="22"/>
        </w:rPr>
        <w:t xml:space="preserve">The pre-trend test — the part that earns the component its place</w:t>
      </w:r>
    </w:p>
    <w:p>
      <w:pPr>
        <w:pStyle w:val="ListParagraph"/>
        <w:numPr>
          <w:ilvl w:val="0"/>
          <w:numId w:val="18"/>
        </w:numPr>
        <w:spacing w:after="80" w:line="276"/>
        <w:jc w:val="both"/>
      </w:pPr>
      <w:r>
        <w:rPr>
          <w:rFonts w:ascii="Calibri" w:cs="Calibri" w:eastAsia="Calibri" w:hAnsi="Calibri"/>
          <w:sz w:val="21"/>
          <w:szCs w:val="21"/>
        </w:rPr>
        <w:t xml:space="preserve">Fit an event-study model with a coefficient at every event time, using ALL available pre-years at each site — three for a 2020 onset, four for a 2021 onset, two for a 2019 extension site. The pre-trend test does not need a balanced panel, so it should use everything there is.</w:t>
      </w:r>
    </w:p>
    <w:p>
      <w:pPr>
        <w:pStyle w:val="ListParagraph"/>
        <w:numPr>
          <w:ilvl w:val="0"/>
          <w:numId w:val="18"/>
        </w:numPr>
        <w:spacing w:after="80" w:line="276"/>
        <w:jc w:val="both"/>
      </w:pPr>
      <w:r>
        <w:rPr>
          <w:rFonts w:ascii="Calibri" w:cs="Calibri" w:eastAsia="Calibri" w:hAnsi="Calibri"/>
          <w:sz w:val="21"/>
          <w:szCs w:val="21"/>
        </w:rPr>
        <w:t xml:space="preserve">EXPECT BOTH TO BE ZERO. If settlements and controls were on parallel paths before onset, the parallel-trends assumption holds and the post-onset estimate can be read as the intervention.</w:t>
      </w:r>
    </w:p>
    <w:p>
      <w:pPr>
        <w:pStyle w:val="ListParagraph"/>
        <w:numPr>
          <w:ilvl w:val="0"/>
          <w:numId w:val="18"/>
        </w:numPr>
        <w:spacing w:after="80" w:line="276"/>
        <w:jc w:val="both"/>
      </w:pPr>
      <w:r>
        <w:rPr>
          <w:rFonts w:ascii="Calibri" w:cs="Calibri" w:eastAsia="Calibri" w:hAnsi="Calibri"/>
          <w:sz w:val="21"/>
          <w:szCs w:val="21"/>
        </w:rPr>
        <w:t xml:space="preserve">If a pre-onset difference is detectable, the assumption FAILS for this cohort. Report that plainly. It is the most damaging result the study can produce, and reporting it is the study working correctly rather than failing.</w:t>
      </w:r>
    </w:p>
    <w:p>
      <w:pPr>
        <w:pStyle w:val="ListParagraph"/>
        <w:numPr>
          <w:ilvl w:val="0"/>
          <w:numId w:val="18"/>
        </w:numPr>
        <w:spacing w:after="80" w:line="276"/>
        <w:jc w:val="both"/>
      </w:pPr>
      <w:r>
        <w:rPr>
          <w:rFonts w:ascii="Calibri" w:cs="Calibri" w:eastAsia="Calibri" w:hAnsi="Calibri"/>
          <w:sz w:val="21"/>
          <w:szCs w:val="21"/>
        </w:rPr>
        <w:t xml:space="preserve">LONG-HORIZON CHECK: on the subset with five or six post-onset years — the 2019 and 2020 onsets — estimate the effect at τ = +5 and τ = +6 as well. Report it as a secondary result with the changed composition stated. If the effect is still growing at τ = +6, say so: it tells a reader that even four years understates the eventual difference.</w:t>
      </w:r>
    </w:p>
    <w:p>
      <w:pPr>
        <w:pStyle w:val="ListParagraph"/>
        <w:numPr>
          <w:ilvl w:val="0"/>
          <w:numId w:val="18"/>
        </w:numPr>
        <w:spacing w:after="80" w:line="276"/>
        <w:jc w:val="both"/>
      </w:pPr>
      <w:r>
        <w:rPr>
          <w:rFonts w:ascii="Calibri" w:cs="Calibri" w:eastAsia="Calibri" w:hAnsi="Calibri"/>
          <w:sz w:val="21"/>
          <w:szCs w:val="21"/>
        </w:rPr>
        <w:t xml:space="preserve">Plot every event time as figure F6a, with the onset year marked, confidence bands throughout, and THE NUMBER OF CONTRIBUTING SITES LABELLED AT EACH POINT. That last requirement matters: beyond τ = +4 the sample composition changes, and a reader must be able to see that the curve is no longer describing the same communities.</w:t>
      </w:r>
    </w:p>
    <w:p>
      <w:pPr>
        <w:spacing w:after="60"/>
      </w:pPr>
    </w:p>
    <w:p>
      <w:pPr>
        <w:pStyle w:val="Heading3"/>
        <w:spacing w:after="110" w:before="220"/>
      </w:pPr>
      <w:r>
        <w:rPr>
          <w:rFonts w:ascii="Calibri" w:cs="Calibri" w:eastAsia="Calibri" w:hAnsi="Calibri"/>
          <w:b/>
          <w:bCs/>
          <w:color w:val="2E5496"/>
          <w:sz w:val="22"/>
          <w:szCs w:val="22"/>
        </w:rPr>
        <w:t xml:space="preserve">Three things to state in advance</w:t>
      </w:r>
    </w:p>
    <w:p>
      <w:pPr>
        <w:pStyle w:val="ListParagraph"/>
        <w:numPr>
          <w:ilvl w:val="0"/>
          <w:numId w:val="3"/>
        </w:numPr>
        <w:spacing w:after="80" w:line="276"/>
        <w:jc w:val="both"/>
      </w:pPr>
      <w:r>
        <w:rPr>
          <w:rFonts w:ascii="Calibri" w:cs="Calibri" w:eastAsia="Calibri" w:hAnsi="Calibri"/>
          <w:b/>
          <w:bCs/>
          <w:i w:val="false"/>
          <w:iCs w:val="false"/>
          <w:sz w:val="21"/>
          <w:szCs w:val="21"/>
        </w:rPr>
        <w:t xml:space="preserve">The estimand differs from A1, and a null here does NOT undermine a positive A1. </w:t>
      </w:r>
      <w:r>
        <w:rPr>
          <w:rFonts w:ascii="Calibri" w:cs="Calibri" w:eastAsia="Calibri" w:hAnsi="Calibri"/>
          <w:b w:val="false"/>
          <w:bCs w:val="false"/>
          <w:i w:val="false"/>
          <w:iCs w:val="false"/>
          <w:sz w:val="21"/>
          <w:szCs w:val="21"/>
        </w:rPr>
        <w:t xml:space="preserve">A1 measures the accumulated difference after a median of sixteen years. A8 measures the change over three years. Cover cropping and mulching respond within one or two seasons; agroforestry and tree planting have barely started at three years. If A1 finds 0.07 and A8 finds 0.01, those are consistent, not contradictory. Say so before you see the results, not afterwards.</w:t>
      </w:r>
    </w:p>
    <w:p>
      <w:pPr>
        <w:pStyle w:val="ListParagraph"/>
        <w:numPr>
          <w:ilvl w:val="0"/>
          <w:numId w:val="3"/>
        </w:numPr>
        <w:spacing w:after="80" w:line="276"/>
        <w:jc w:val="both"/>
      </w:pPr>
      <w:r>
        <w:rPr>
          <w:rFonts w:ascii="Calibri" w:cs="Calibri" w:eastAsia="Calibri" w:hAnsi="Calibri"/>
          <w:b/>
          <w:bCs/>
          <w:i w:val="false"/>
          <w:iCs w:val="false"/>
          <w:sz w:val="21"/>
          <w:szCs w:val="21"/>
        </w:rPr>
        <w:t xml:space="preserve">COVID is a real confound and DiD does not fully remove it. </w:t>
      </w:r>
      <w:r>
        <w:rPr>
          <w:rFonts w:ascii="Calibri" w:cs="Calibri" w:eastAsia="Calibri" w:hAnsi="Calibri"/>
          <w:b w:val="false"/>
          <w:bCs w:val="false"/>
          <w:i w:val="false"/>
          <w:iCs w:val="false"/>
          <w:sz w:val="21"/>
          <w:szCs w:val="21"/>
        </w:rPr>
        <w:t xml:space="preserve">Onset in 2020–2021 means the post-period opens during a pandemic that drove unusual rural in-migration worldwide. A difference-in-differences removes shocks that hit settlements and controls equally. It does NOT remove a shock that hit intentional communities disproportionately — and in-migration to rural intentional communities plausibly was disproportionate. State this as a limitation and check whether the estimate differs between 2020-onset and 2022-onset communities, since the latter had a shorter pandemic overlap.</w:t>
      </w:r>
    </w:p>
    <w:p>
      <w:pPr>
        <w:pStyle w:val="ListParagraph"/>
        <w:numPr>
          <w:ilvl w:val="0"/>
          <w:numId w:val="3"/>
        </w:numPr>
        <w:spacing w:after="80" w:line="276"/>
        <w:jc w:val="both"/>
      </w:pPr>
      <w:r>
        <w:rPr>
          <w:rFonts w:ascii="Calibri" w:cs="Calibri" w:eastAsia="Calibri" w:hAnsi="Calibri"/>
          <w:b/>
          <w:bCs/>
          <w:i w:val="false"/>
          <w:iCs w:val="false"/>
          <w:sz w:val="21"/>
          <w:szCs w:val="21"/>
        </w:rPr>
        <w:t xml:space="preserve">The cohort is a different population from the 212. </w:t>
      </w:r>
      <w:r>
        <w:rPr>
          <w:rFonts w:ascii="Calibri" w:cs="Calibri" w:eastAsia="Calibri" w:hAnsi="Calibri"/>
          <w:b w:val="false"/>
          <w:bCs w:val="false"/>
          <w:i w:val="false"/>
          <w:iCs w:val="false"/>
          <w:sz w:val="21"/>
          <w:szCs w:val="21"/>
        </w:rPr>
        <w:t xml:space="preserve">Selected on recent onset, so these communities are younger, probably smaller and less established. Compare them against the 212 on population, country income group, climate group and activity tier, and report the comparison. A8 speaks about recently founded communities; it does not automatically generalise to the whole sample.</w:t>
      </w:r>
    </w:p>
    <w:p>
      <w:pPr>
        <w:spacing w:after="140"/>
      </w:pPr>
    </w:p>
    <w:p>
      <w:pPr>
        <w:pStyle w:val="Heading2"/>
        <w:spacing w:after="130" w:before="280"/>
      </w:pPr>
      <w:r>
        <w:rPr>
          <w:rFonts w:ascii="Calibri" w:cs="Calibri" w:eastAsia="Calibri" w:hAnsi="Calibri"/>
          <w:b/>
          <w:bCs/>
          <w:color w:val="2E5496"/>
          <w:sz w:val="25"/>
          <w:szCs w:val="25"/>
        </w:rPr>
        <w:t xml:space="preserve">8.11  A9 — Size-gradient model  [H9]</w:t>
      </w:r>
    </w:p>
    <w:tbl>
      <w:tblPr>
        <w:tblW w:type="dxa" w:w="9020"/>
        <w:tblBorders>
          <w:top w:val="none" w:color="FFFFFF" w:sz="0"/>
          <w:left w:val="single" w:color="2E5496" w:sz="18"/>
          <w:bottom w:val="none" w:color="FFFFFF" w:sz="0"/>
          <w:right w:val="none" w:color="FFFFFF" w:sz="0"/>
          <w:insideH w:val="none" w:color="FFFFFF" w:sz="0"/>
          <w:insideV w:val="none" w:color="FFFFFF" w:sz="0"/>
        </w:tblBorders>
      </w:tblPr>
      <w:tblGrid>
        <w:gridCol w:w="9020"/>
      </w:tblGrid>
      <w:tr>
        <w:tc>
          <w:tcPr>
            <w:tcW w:type="dxa" w:w="9020"/>
            <w:shd w:fill="EAF1FB" w:color="auto" w:val="clear"/>
            <w:tcMar>
              <w:top w:type="dxa" w:w="150"/>
              <w:left w:type="dxa" w:w="180"/>
              <w:bottom w:type="dxa" w:w="150"/>
              <w:right w:type="dxa" w:w="180"/>
            </w:tcMar>
          </w:tcPr>
          <w:p>
            <w:pPr>
              <w:spacing w:after="90"/>
            </w:pPr>
            <w:r>
              <w:rPr>
                <w:rFonts w:ascii="Calibri" w:cs="Calibri" w:eastAsia="Calibri" w:hAnsi="Calibri"/>
                <w:b/>
                <w:bCs/>
                <w:color w:val="2E5496"/>
                <w:sz w:val="21"/>
                <w:szCs w:val="21"/>
              </w:rPr>
              <w:t xml:space="preserve">What makes this a real test rather than a fishing expedition</w:t>
            </w:r>
          </w:p>
          <w:p>
            <w:pPr>
              <w:spacing w:after="90" w:line="276"/>
              <w:jc w:val="both"/>
            </w:pPr>
            <w:r>
              <w:rPr>
                <w:rFonts w:ascii="Calibri" w:cs="Calibri" w:eastAsia="Calibri" w:hAnsi="Calibri"/>
                <w:sz w:val="20"/>
                <w:szCs w:val="20"/>
              </w:rPr>
              <w:t xml:space="preserve">The obvious question, once communities are grouped by size, is whether size itself changes how well land is held. The obvious analysis — compare small against large — is worthless, because a small community MUST show a smaller measured effect even if it manages its land exactly as well. Its work simply covers less of the ground being measured.</w:t>
            </w:r>
          </w:p>
          <w:p>
            <w:pPr>
              <w:spacing w:after="90" w:line="276"/>
              <w:jc w:val="both"/>
            </w:pPr>
            <w:r>
              <w:rPr>
                <w:rFonts w:ascii="Calibri" w:cs="Calibri" w:eastAsia="Calibri" w:hAnsi="Calibri"/>
                <w:sz w:val="20"/>
                <w:szCs w:val="20"/>
              </w:rPr>
              <w:t xml:space="preserve">But that dilution is exactly predictable. At a common 150 metre zone, a community working A hectares covers min(1, A / 7.07) of it. So the expected effect under a size-INDEPENDENT management quality is the local effect multiplied by that coverage — a curve that rises steeply to 7 hectares and is flat above it.</w:t>
            </w:r>
          </w:p>
          <w:p>
            <w:pPr>
              <w:spacing w:after="90" w:line="276"/>
              <w:jc w:val="both"/>
            </w:pPr>
            <w:r>
              <w:rPr>
                <w:rFonts w:ascii="Calibri" w:cs="Calibri" w:eastAsia="Calibri" w:hAnsi="Calibri"/>
                <w:sz w:val="20"/>
                <w:szCs w:val="20"/>
              </w:rPr>
              <w:t xml:space="preserve">A9 therefore does not ask "is there a size relationship?" — there must be one. It asks whether the observed relationship is STEEPER, FLATTER or EQUAL to what dilution alone predicts. That is a quantitative null, and it is what turns an obvious question into a testable one.</w:t>
            </w:r>
          </w:p>
        </w:tc>
      </w:tr>
    </w:tbl>
    <w:p>
      <w:pPr>
        <w:spacing w:after="140"/>
      </w:pP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200"/>
        <w:gridCol w:w="6820"/>
      </w:tblGrid>
      <w:tr>
        <w:trPr>
          <w:tblHeader/>
        </w:trPr>
        <w:tc>
          <w:tcPr>
            <w:tcW w:type="dxa" w:w="22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c>
          <w:tcPr>
            <w:tcW w:type="dxa" w:w="68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r>
      <w:tr>
        <w:tc>
          <w:tcPr>
            <w:tcW w:type="dxa" w:w="22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Analysis name</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Size-gradient model against the dilution null</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Outcome</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VCI on the COMMON 150 m zone, seven-year mean, condition form. NOT the size-matched class zone — see the note below.</w:t>
            </w:r>
          </w:p>
        </w:tc>
      </w:tr>
      <w:tr>
        <w:tc>
          <w:tcPr>
            <w:tcW w:type="dxa" w:w="22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Sample</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All settlements and controls. Every site has a polygon, so unlike earlier versions nothing is excluded for a missing area.</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Unit</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Site.</w:t>
            </w:r>
          </w:p>
        </w:tc>
      </w:tr>
      <w:tr>
        <w:tc>
          <w:tcPr>
            <w:tcW w:type="dxa" w:w="22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Specification</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VCI ~ SITE_TYPE × s(log POLYGON_AREA) + covariates + quartet fixed effects, where s( ) is a penalised smooth. Same structure as the age gradient A4. Standard errors clustered at site. The polygon area replaces the coded managed area as the predictor, because it is a direct measurement rather than a self-report.</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Estimand</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interaction: how the settlement–control difference changes with community size.</w:t>
            </w:r>
          </w:p>
        </w:tc>
      </w:tr>
      <w:tr>
        <w:tc>
          <w:tcPr>
            <w:tcW w:type="dxa" w:w="22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The comparison that matters</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Plot the fitted interaction against managed area, and OVERLAY the dilution curve — the local effect multiplied by min(1, A / 7.07 ha), scaled to the observed effect at large sizes. Figure F9. Three readings follow, set out below.</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Why log area</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Managed area spans two orders of magnitude, from about one hectare to over fifty. Untransformed, a handful of very large communities would determine the whole shape of the curve.</w:t>
            </w:r>
          </w:p>
        </w:tc>
      </w:tr>
      <w:tr>
        <w:tc>
          <w:tcPr>
            <w:tcW w:type="dxa" w:w="2200"/>
            <w:tcMar>
              <w:top w:type="dxa" w:w="70"/>
              <w:left w:type="dxa" w:w="90"/>
              <w:bottom w:type="dxa" w:w="70"/>
              <w:right w:type="dxa" w:w="90"/>
            </w:tcMar>
          </w:tcPr>
          <w:p>
            <w:pPr>
              <w:spacing w:after="0" w:line="250"/>
            </w:pPr>
            <w:r>
              <w:rPr>
                <w:rFonts w:ascii="Calibri" w:cs="Calibri" w:eastAsia="Calibri" w:hAnsi="Calibri"/>
                <w:b/>
                <w:bCs/>
                <w:color w:val="000000"/>
                <w:sz w:val="19"/>
                <w:szCs w:val="19"/>
              </w:rPr>
              <w:t xml:space="preserve">Confounders to include and name</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ONSET AGE above all — larger communities are usually older, so a size gradient can be an age gradient in disguise. Include the age smooth from A4 in the same model, and report both. Also population and country income group.</w:t>
            </w:r>
          </w:p>
        </w:tc>
      </w:tr>
    </w:tbl>
    <w:p>
      <w:pPr>
        <w:spacing w:after="140"/>
      </w:pPr>
    </w:p>
    <w:p>
      <w:pPr>
        <w:pStyle w:val="Heading3"/>
        <w:spacing w:after="110" w:before="220"/>
      </w:pPr>
      <w:r>
        <w:rPr>
          <w:rFonts w:ascii="Calibri" w:cs="Calibri" w:eastAsia="Calibri" w:hAnsi="Calibri"/>
          <w:b/>
          <w:bCs/>
          <w:color w:val="2E5496"/>
          <w:sz w:val="22"/>
          <w:szCs w:val="22"/>
        </w:rPr>
        <w:t xml:space="preserve">Why A9 uses the COMMON zone and not the size-matched one</w:t>
      </w:r>
    </w:p>
    <w:p>
      <w:pPr>
        <w:spacing w:after="120" w:line="276"/>
        <w:jc w:val="both"/>
      </w:pPr>
      <w:r>
        <w:rPr>
          <w:rFonts w:ascii="Calibri" w:cs="Calibri" w:eastAsia="Calibri" w:hAnsi="Calibri"/>
          <w:b/>
          <w:bCs/>
          <w:i w:val="false"/>
          <w:iCs w:val="false"/>
          <w:color w:val="000000"/>
          <w:sz w:val="21"/>
          <w:szCs w:val="21"/>
        </w:rPr>
        <w:t xml:space="preserve">This is the single most important design decision in the analysis, and getting it wrong would make the result meaningless. </w:t>
      </w:r>
      <w:r>
        <w:rPr>
          <w:rFonts w:ascii="Calibri" w:cs="Calibri" w:eastAsia="Calibri" w:hAnsi="Calibri"/>
          <w:b w:val="false"/>
          <w:bCs w:val="false"/>
          <w:i w:val="false"/>
          <w:iCs w:val="false"/>
          <w:color w:val="000000"/>
          <w:sz w:val="21"/>
          <w:szCs w:val="21"/>
        </w:rPr>
        <w:t xml:space="preserve">If A9 ran on the size-matched zones, small communities would be measured over 3.14 hectares and large ones over 12.57 — so any difference between them would be partly the measurement scale rather than the communities. The estimand would differ by group, which is exactly the confound the analysis exists to avoid.</w:t>
      </w:r>
    </w:p>
    <w:p>
      <w:pPr>
        <w:spacing w:after="120" w:line="276"/>
        <w:jc w:val="both"/>
      </w:pPr>
      <w:r>
        <w:rPr>
          <w:rFonts w:ascii="Calibri" w:cs="Calibri" w:eastAsia="Calibri" w:hAnsi="Calibri"/>
          <w:b w:val="false"/>
          <w:bCs w:val="false"/>
          <w:i w:val="false"/>
          <w:iCs w:val="false"/>
          <w:color w:val="000000"/>
          <w:sz w:val="21"/>
          <w:szCs w:val="21"/>
        </w:rPr>
        <w:t xml:space="preserve">On the COMMON 150 metre zone every site is measured identically, the dilution curve is exactly computable, and the comparison is clean. The common zone is extracted for every site anyway (§4.3), so this costs nothing.</w:t>
      </w:r>
    </w:p>
    <w:p>
      <w:pPr>
        <w:pStyle w:val="Heading3"/>
        <w:spacing w:after="110" w:before="220"/>
      </w:pPr>
      <w:r>
        <w:rPr>
          <w:rFonts w:ascii="Calibri" w:cs="Calibri" w:eastAsia="Calibri" w:hAnsi="Calibri"/>
          <w:b/>
          <w:bCs/>
          <w:color w:val="2E5496"/>
          <w:sz w:val="22"/>
          <w:szCs w:val="22"/>
        </w:rPr>
        <w:t xml:space="preserve">How to read the three possible outcomes</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6620"/>
      </w:tblGrid>
      <w:tr>
        <w:trPr>
          <w:tblHeader/>
        </w:trPr>
        <w:tc>
          <w:tcPr>
            <w:tcW w:type="dxa" w:w="24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Result</w:t>
            </w:r>
          </w:p>
        </w:tc>
        <w:tc>
          <w:tcPr>
            <w:tcW w:type="dxa" w:w="66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What it means</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observed gradient FOLLOWS the dilution curve</w:t>
            </w:r>
          </w:p>
        </w:tc>
        <w:tc>
          <w:tcPr>
            <w:tcW w:type="dxa" w:w="6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Management quality is size-independent. Small communities work their land as well as large ones, and their smaller measured effect is purely an artefact of measuring over ground they do not manage. A clean, useful and quite likely finding.</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observed gradient is STEEPER than dilution predicts</w:t>
            </w:r>
          </w:p>
        </w:tc>
        <w:tc>
          <w:tcPr>
            <w:tcW w:type="dxa" w:w="6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Larger communities hold their land better per hectare — more people, more capacity, more machinery, more continuity. Check hard that it is not the age gradient in disguise before reporting it as a size effect.</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observed gradient is FLATTER than dilution predicts</w:t>
            </w:r>
          </w:p>
        </w:tc>
        <w:tc>
          <w:tcPr>
            <w:tcW w:type="dxa" w:w="6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Smaller communities do better per hectare, consistent with concentrated effort on a small area. The least expected of the three and the most interesting if it holds.</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No gradient and no main effect</w:t>
            </w:r>
          </w:p>
        </w:tc>
        <w:tc>
          <w:tcPr>
            <w:tcW w:type="dxa" w:w="6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There is nothing to explain. Read it with A1 rather than on its own.</w:t>
            </w:r>
          </w:p>
        </w:tc>
      </w:tr>
    </w:tbl>
    <w:p>
      <w:pPr>
        <w:spacing w:after="140"/>
      </w:pPr>
    </w:p>
    <w:p>
      <w:pPr>
        <w:spacing w:after="120" w:line="276"/>
        <w:jc w:val="both"/>
      </w:pPr>
      <w:r>
        <w:rPr>
          <w:rFonts w:ascii="Calibri" w:cs="Calibri" w:eastAsia="Calibri" w:hAnsi="Calibri"/>
          <w:b/>
          <w:bCs/>
          <w:i w:val="false"/>
          <w:iCs w:val="false"/>
          <w:color w:val="000000"/>
          <w:sz w:val="21"/>
          <w:szCs w:val="21"/>
        </w:rPr>
        <w:t xml:space="preserve">One honest limitation, smaller than it used to be. </w:t>
      </w:r>
      <w:r>
        <w:rPr>
          <w:rFonts w:ascii="Calibri" w:cs="Calibri" w:eastAsia="Calibri" w:hAnsi="Calibri"/>
          <w:b w:val="false"/>
          <w:bCs w:val="false"/>
          <w:i w:val="false"/>
          <w:iCs w:val="false"/>
          <w:color w:val="000000"/>
          <w:sz w:val="21"/>
          <w:szCs w:val="21"/>
        </w:rPr>
        <w:t xml:space="preserve">Polygon area is a direct measurement rather than a self-report, so it carries far less error than the coded managed area used before version 3.6. Some error remains — your redraw overlap in T8c measures it — and error in a predictor attenuates a relationship toward flat. A9 may still slightly UNDERSTATE a true size gradient. Report the redraw overlap beside a flat result.</w:t>
      </w:r>
    </w:p>
    <w:p>
      <w:pPr>
        <w:spacing w:after="140"/>
      </w:pPr>
    </w:p>
    <w:p>
      <w:pPr>
        <w:pStyle w:val="Heading2"/>
        <w:spacing w:after="130" w:before="280"/>
      </w:pPr>
      <w:r>
        <w:rPr>
          <w:rFonts w:ascii="Calibri" w:cs="Calibri" w:eastAsia="Calibri" w:hAnsi="Calibri"/>
          <w:b/>
          <w:bCs/>
          <w:color w:val="2E5496"/>
          <w:sz w:val="25"/>
          <w:szCs w:val="25"/>
        </w:rPr>
        <w:t xml:space="preserve">8.12  Detectable differences, per hypothesis</w:t>
      </w:r>
    </w:p>
    <w:p>
      <w:pPr>
        <w:spacing w:after="120" w:line="276"/>
        <w:jc w:val="both"/>
      </w:pPr>
      <w:r>
        <w:rPr>
          <w:rFonts w:ascii="Calibri" w:cs="Calibri" w:eastAsia="Calibri" w:hAnsi="Calibri"/>
          <w:b w:val="false"/>
          <w:bCs w:val="false"/>
          <w:i w:val="false"/>
          <w:iCs w:val="false"/>
          <w:color w:val="000000"/>
          <w:sz w:val="21"/>
          <w:szCs w:val="21"/>
        </w:rPr>
        <w:t xml:space="preserve">These come from the pilot’s measured residual variation of 0.089 NDVI units at a 150 m radius. Report the relevant one with every null result.</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1200"/>
        <w:gridCol w:w="3000"/>
        <w:gridCol w:w="1800"/>
        <w:gridCol w:w="3020"/>
      </w:tblGrid>
      <w:tr>
        <w:trPr>
          <w:tblHeader/>
        </w:trPr>
        <w:tc>
          <w:tcPr>
            <w:tcW w:type="dxa" w:w="12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Analysis</w:t>
            </w:r>
          </w:p>
        </w:tc>
        <w:tc>
          <w:tcPr>
            <w:tcW w:type="dxa" w:w="30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What it tests</w:t>
            </w:r>
          </w:p>
        </w:tc>
        <w:tc>
          <w:tcPr>
            <w:tcW w:type="dxa" w:w="18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Detectable difference</w:t>
            </w:r>
          </w:p>
        </w:tc>
        <w:tc>
          <w:tcPr>
            <w:tcW w:type="dxa" w:w="30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Note</w:t>
            </w:r>
          </w:p>
        </w:tc>
      </w:tr>
      <w:tr>
        <w:tc>
          <w:tcPr>
            <w:tcW w:type="dxa" w:w="1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A1</w:t>
            </w:r>
          </w:p>
        </w:tc>
        <w:tc>
          <w:tcPr>
            <w:tcW w:type="dxa" w:w="30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Condition, matched contrast</w:t>
            </w:r>
          </w:p>
        </w:tc>
        <w:tc>
          <w:tcPr>
            <w:tcW w:type="dxa" w:w="1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0.22 SD  ≈ 0.020 NDVI</w:t>
            </w:r>
          </w:p>
        </w:tc>
        <w:tc>
          <w:tcPr>
            <w:tcW w:type="dxa" w:w="30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study’s best-powered test.</w:t>
            </w:r>
          </w:p>
        </w:tc>
      </w:tr>
      <w:tr>
        <w:tc>
          <w:tcPr>
            <w:tcW w:type="dxa" w:w="1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A2</w:t>
            </w:r>
          </w:p>
        </w:tc>
        <w:tc>
          <w:tcPr>
            <w:tcW w:type="dxa" w:w="30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Provisioning, equivalence</w:t>
            </w:r>
          </w:p>
        </w:tc>
        <w:tc>
          <w:tcPr>
            <w:tcW w:type="dxa" w:w="1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0.22 SD  ≈ 0.020 NDVI</w:t>
            </w:r>
          </w:p>
        </w:tc>
        <w:tc>
          <w:tcPr>
            <w:tcW w:type="dxa" w:w="30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Against a declared margin of 0.15 SD.</w:t>
            </w:r>
          </w:p>
        </w:tc>
      </w:tr>
      <w:tr>
        <w:tc>
          <w:tcPr>
            <w:tcW w:type="dxa" w:w="1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A3</w:t>
            </w:r>
          </w:p>
        </w:tc>
        <w:tc>
          <w:tcPr>
            <w:tcW w:type="dxa" w:w="30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Ring interaction</w:t>
            </w:r>
          </w:p>
        </w:tc>
        <w:tc>
          <w:tcPr>
            <w:tcW w:type="dxa" w:w="1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0.36 SD  ≈ 0.032 NDVI</w:t>
            </w:r>
          </w:p>
        </w:tc>
        <w:tc>
          <w:tcPr>
            <w:tcW w:type="dxa" w:w="30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Interactions cost precision.</w:t>
            </w:r>
          </w:p>
        </w:tc>
      </w:tr>
      <w:tr>
        <w:tc>
          <w:tcPr>
            <w:tcW w:type="dxa" w:w="1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A4</w:t>
            </w:r>
          </w:p>
        </w:tc>
        <w:tc>
          <w:tcPr>
            <w:tcW w:type="dxa" w:w="30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Age interaction</w:t>
            </w:r>
          </w:p>
        </w:tc>
        <w:tc>
          <w:tcPr>
            <w:tcW w:type="dxa" w:w="1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0.44 SD  ≈ 0.040 NDVI</w:t>
            </w:r>
          </w:p>
        </w:tc>
        <w:tc>
          <w:tcPr>
            <w:tcW w:type="dxa" w:w="30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weakest of the secondary tests, and further attenuated by onset dating error. A 7-year coding error roughly doubles the sample needed.</w:t>
            </w:r>
          </w:p>
        </w:tc>
      </w:tr>
      <w:tr>
        <w:tc>
          <w:tcPr>
            <w:tcW w:type="dxa" w:w="1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A5</w:t>
            </w:r>
          </w:p>
        </w:tc>
        <w:tc>
          <w:tcPr>
            <w:tcW w:type="dxa" w:w="30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Management-diagnostic subset</w:t>
            </w:r>
          </w:p>
        </w:tc>
        <w:tc>
          <w:tcPr>
            <w:tcW w:type="dxa" w:w="1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0.22 SD  ≈ 0.020 NDVI</w:t>
            </w:r>
          </w:p>
        </w:tc>
        <w:tc>
          <w:tcPr>
            <w:tcW w:type="dxa" w:w="30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Same power as A1 — it is the same contrast on a different scale.</w:t>
            </w:r>
          </w:p>
        </w:tc>
      </w:tr>
      <w:tr>
        <w:tc>
          <w:tcPr>
            <w:tcW w:type="dxa" w:w="1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A6</w:t>
            </w:r>
          </w:p>
        </w:tc>
        <w:tc>
          <w:tcPr>
            <w:tcW w:type="dxa" w:w="30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Claims versus delivery</w:t>
            </w:r>
          </w:p>
        </w:tc>
        <w:tc>
          <w:tcPr>
            <w:tcW w:type="dxa" w:w="1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0.39 SD  ≈ 0.034 NDVI</w:t>
            </w:r>
          </w:p>
        </w:tc>
        <w:tc>
          <w:tcPr>
            <w:tcW w:type="dxa" w:w="30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At 50% prevalence. Worse at more skewed prevalence.</w:t>
            </w:r>
          </w:p>
        </w:tc>
      </w:tr>
      <w:tr>
        <w:tc>
          <w:tcPr>
            <w:tcW w:type="dxa" w:w="1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A7</w:t>
            </w:r>
          </w:p>
        </w:tc>
        <w:tc>
          <w:tcPr>
            <w:tcW w:type="dxa" w:w="30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Density comparison</w:t>
            </w:r>
          </w:p>
        </w:tc>
        <w:tc>
          <w:tcPr>
            <w:tcW w:type="dxa" w:w="1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0.40 SD  ≈ 0.035 NDVI</w:t>
            </w:r>
          </w:p>
        </w:tc>
        <w:tc>
          <w:tcPr>
            <w:tcW w:type="dxa" w:w="30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1:1 matching against ~150 held-out sites.</w:t>
            </w:r>
          </w:p>
        </w:tc>
      </w:tr>
      <w:tr>
        <w:tc>
          <w:tcPr>
            <w:tcW w:type="dxa" w:w="1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A8</w:t>
            </w:r>
          </w:p>
        </w:tc>
        <w:tc>
          <w:tcPr>
            <w:tcW w:type="dxa" w:w="30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Pre-onset difference-in-differences</w:t>
            </w:r>
          </w:p>
        </w:tc>
        <w:tc>
          <w:tcPr>
            <w:tcW w:type="dxa" w:w="1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0.40 SD  ≈ 0.006–0.012 NDVI</w:t>
            </w:r>
          </w:p>
        </w:tc>
        <w:tc>
          <w:tcPr>
            <w:tcW w:type="dxa" w:w="30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Standardised MDE is similar to A7, but the NDVI-unit figure is much SMALLER because the residual is interannual rather than between-site variation. Detectable against an expected FOUR-year effect of 0.009–0.026 — real, and able to fail.</w:t>
            </w:r>
          </w:p>
        </w:tc>
      </w:tr>
      <w:tr>
        <w:tc>
          <w:tcPr>
            <w:tcW w:type="dxa" w:w="1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A9</w:t>
            </w:r>
          </w:p>
        </w:tc>
        <w:tc>
          <w:tcPr>
            <w:tcW w:type="dxa" w:w="30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Size gradient</w:t>
            </w:r>
          </w:p>
        </w:tc>
        <w:tc>
          <w:tcPr>
            <w:tcW w:type="dxa" w:w="1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0.44 SD at n = 212</w:t>
            </w:r>
          </w:p>
        </w:tc>
        <w:tc>
          <w:tcPr>
            <w:tcW w:type="dxa" w:w="30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smooth interaction, so it carries the same penalty as A4. Worse where managed area is uncoded: 0.50 SD at n = 170, 0.53 SD at n = 148. Report the achieved n.</w:t>
            </w:r>
          </w:p>
        </w:tc>
      </w:tr>
    </w:tbl>
    <w:p>
      <w:pPr>
        <w:spacing w:after="140"/>
      </w:pPr>
    </w:p>
    <w:p>
      <w:pPr>
        <w:pStyle w:val="Heading2"/>
        <w:spacing w:after="130" w:before="280"/>
      </w:pPr>
      <w:r>
        <w:rPr>
          <w:rFonts w:ascii="Calibri" w:cs="Calibri" w:eastAsia="Calibri" w:hAnsi="Calibri"/>
          <w:b/>
          <w:bCs/>
          <w:color w:val="2E5496"/>
          <w:sz w:val="25"/>
          <w:szCs w:val="25"/>
        </w:rPr>
        <w:t xml:space="preserve">8.13  Per-community estimation — the shrinkage step</w:t>
      </w:r>
    </w:p>
    <w:p>
      <w:pPr>
        <w:spacing w:after="120" w:line="276"/>
        <w:jc w:val="both"/>
      </w:pPr>
      <w:r>
        <w:rPr>
          <w:rFonts w:ascii="Calibri" w:cs="Calibri" w:eastAsia="Calibri" w:hAnsi="Calibri"/>
          <w:b w:val="false"/>
          <w:bCs w:val="false"/>
          <w:i w:val="false"/>
          <w:iCs w:val="false"/>
          <w:color w:val="000000"/>
          <w:sz w:val="21"/>
          <w:szCs w:val="21"/>
        </w:rPr>
        <w:t xml:space="preserve">Analyses A1 to A8 answer questions about the sample. This section answers a different question: what can be said about ONE community? It is needed for two reasons — the typology of §6.8 requires a per-site direction, and the second study of this thesis cannot be trained without per-site values.</w:t>
      </w:r>
    </w:p>
    <w:p>
      <w:pPr>
        <w:spacing w:after="120" w:line="276"/>
        <w:jc w:val="both"/>
      </w:pPr>
      <w:r>
        <w:rPr>
          <w:rFonts w:ascii="Calibri" w:cs="Calibri" w:eastAsia="Calibri" w:hAnsi="Calibri"/>
          <w:b/>
          <w:bCs/>
          <w:i w:val="false"/>
          <w:iCs w:val="false"/>
          <w:color w:val="000000"/>
          <w:sz w:val="21"/>
          <w:szCs w:val="21"/>
        </w:rPr>
        <w:t xml:space="preserve">The precision problem, with its numbers. </w:t>
      </w:r>
      <w:r>
        <w:rPr>
          <w:rFonts w:ascii="Calibri" w:cs="Calibri" w:eastAsia="Calibri" w:hAnsi="Calibri"/>
          <w:b w:val="false"/>
          <w:bCs w:val="false"/>
          <w:i w:val="false"/>
          <w:iCs w:val="false"/>
          <w:color w:val="000000"/>
          <w:sz w:val="21"/>
          <w:szCs w:val="21"/>
        </w:rPr>
        <w:t xml:space="preserve">The pooled estimate has a standard error of about 0.079 within-quartet standard deviations at n = 212. A single community’s estimate has a standard error of 1.155 — fifteen times larger. For one community to be classed above its controls at conventional confidence, its difference must exceed about 2.26 standard deviations, roughly ten times the pooled detectable difference.</w:t>
      </w:r>
    </w:p>
    <w:p>
      <w:pPr>
        <w:spacing w:after="120" w:line="276"/>
        <w:jc w:val="both"/>
      </w:pPr>
      <w:r>
        <w:rPr>
          <w:rFonts w:ascii="Calibri" w:cs="Calibri" w:eastAsia="Calibri" w:hAnsi="Calibri"/>
          <w:b w:val="false"/>
          <w:bCs w:val="false"/>
          <w:i w:val="false"/>
          <w:iCs w:val="false"/>
          <w:color w:val="000000"/>
          <w:sz w:val="21"/>
          <w:szCs w:val="21"/>
        </w:rPr>
        <w:t xml:space="preserve">A raw per-site difference is therefore a very noisy quantity, and reporting 212 of them without correction would produce a table in which the extremes are mostly sampling error. The standard remedy is shrinkage.</w:t>
      </w:r>
    </w:p>
    <w:p>
      <w:pPr>
        <w:pStyle w:val="Heading3"/>
        <w:spacing w:after="110" w:before="220"/>
      </w:pPr>
      <w:r>
        <w:rPr>
          <w:rFonts w:ascii="Calibri" w:cs="Calibri" w:eastAsia="Calibri" w:hAnsi="Calibri"/>
          <w:b/>
          <w:bCs/>
          <w:color w:val="2E5496"/>
          <w:sz w:val="22"/>
          <w:szCs w:val="22"/>
        </w:rPr>
        <w:t xml:space="preserve">How it works, in plain terms</w:t>
      </w:r>
    </w:p>
    <w:p>
      <w:pPr>
        <w:spacing w:after="120" w:line="276"/>
        <w:jc w:val="both"/>
      </w:pPr>
      <w:r>
        <w:rPr>
          <w:rFonts w:ascii="Calibri" w:cs="Calibri" w:eastAsia="Calibri" w:hAnsi="Calibri"/>
          <w:b w:val="false"/>
          <w:bCs w:val="false"/>
          <w:i w:val="false"/>
          <w:iCs w:val="false"/>
          <w:color w:val="000000"/>
          <w:sz w:val="21"/>
          <w:szCs w:val="21"/>
        </w:rPr>
        <w:t xml:space="preserve">Fit a hierarchical model in which each community’s difference is drawn from a common distribution. Each site’s reported estimate then becomes a weighted blend of its OWN measured value and the sample mean, with the weight determined by how precisely that site was measured. A well-observed site keeps more of its own value; a noisy one is pulled further toward the middle.</w:t>
      </w:r>
    </w:p>
    <w:p>
      <w:pPr>
        <w:spacing w:after="130" w:before="130"/>
        <w:jc w:val="center"/>
      </w:pPr>
      <w:r>
        <w:rPr>
          <w:rFonts w:ascii="Consolas" w:cs="Consolas" w:eastAsia="Consolas" w:hAnsi="Consolas"/>
          <w:b/>
          <w:bCs/>
          <w:sz w:val="22"/>
          <w:szCs w:val="22"/>
        </w:rPr>
        <w:t xml:space="preserve">weight on the site’s own value  =  τ²  /  ( τ² + σᵢ² )</w:t>
      </w:r>
    </w:p>
    <w:p>
      <w:pPr>
        <w:spacing w:after="130" w:before="0"/>
        <w:jc w:val="center"/>
      </w:pPr>
      <w:r>
        <w:rPr>
          <w:rFonts w:ascii="Calibri" w:cs="Calibri" w:eastAsia="Calibri" w:hAnsi="Calibri"/>
          <w:i/>
          <w:iCs/>
          <w:color w:val="595959"/>
          <w:sz w:val="17"/>
          <w:szCs w:val="17"/>
        </w:rPr>
        <w:t xml:space="preserve">τ² is the between-site variance; σᵢ² is that site’s own sampling variance</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2200"/>
        <w:gridCol w:w="4220"/>
      </w:tblGrid>
      <w:tr>
        <w:trPr>
          <w:tblHeader/>
        </w:trPr>
        <w:tc>
          <w:tcPr>
            <w:tcW w:type="dxa" w:w="26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Between-site variance</w:t>
            </w:r>
          </w:p>
        </w:tc>
        <w:tc>
          <w:tcPr>
            <w:tcW w:type="dxa" w:w="22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Keeps of its own value</w:t>
            </w:r>
          </w:p>
        </w:tc>
        <w:tc>
          <w:tcPr>
            <w:tcW w:type="dxa" w:w="42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Meaning</w:t>
            </w:r>
          </w:p>
        </w:tc>
      </w:tr>
      <w:tr>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0.5 σ²</w:t>
            </w:r>
          </w:p>
        </w:tc>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27%</w:t>
            </w:r>
          </w:p>
        </w:tc>
        <w:tc>
          <w:tcPr>
            <w:tcW w:type="dxa" w:w="42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Communities differ little; individual estimates are mostly noise and are pulled hard toward the mean.</w:t>
            </w:r>
          </w:p>
        </w:tc>
      </w:tr>
      <w:tr>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1.0 σ²</w:t>
            </w:r>
          </w:p>
        </w:tc>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43%</w:t>
            </w:r>
          </w:p>
        </w:tc>
        <w:tc>
          <w:tcPr>
            <w:tcW w:type="dxa" w:w="42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Moderate real variation between communities.</w:t>
            </w:r>
          </w:p>
        </w:tc>
      </w:tr>
      <w:tr>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2.0 σ²</w:t>
            </w:r>
          </w:p>
        </w:tc>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60%</w:t>
            </w:r>
          </w:p>
        </w:tc>
        <w:tc>
          <w:tcPr>
            <w:tcW w:type="dxa" w:w="42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Substantial real variation; individual estimates carry real information.</w:t>
            </w:r>
          </w:p>
        </w:tc>
      </w:tr>
      <w:tr>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4.0 σ²</w:t>
            </w:r>
          </w:p>
        </w:tc>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75%</w:t>
            </w:r>
          </w:p>
        </w:tc>
        <w:tc>
          <w:tcPr>
            <w:tcW w:type="dxa" w:w="42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Communities differ a great deal; shrinkage barely moves them.</w:t>
            </w:r>
          </w:p>
        </w:tc>
      </w:tr>
    </w:tbl>
    <w:p>
      <w:pPr>
        <w:spacing w:after="120"/>
      </w:pPr>
    </w:p>
    <w:p>
      <w:pPr>
        <w:spacing w:after="120" w:line="276"/>
        <w:jc w:val="both"/>
      </w:pPr>
      <w:r>
        <w:rPr>
          <w:rFonts w:ascii="Calibri" w:cs="Calibri" w:eastAsia="Calibri" w:hAnsi="Calibri"/>
          <w:b w:val="false"/>
          <w:bCs w:val="false"/>
          <w:i w:val="false"/>
          <w:iCs w:val="false"/>
          <w:color w:val="000000"/>
          <w:sz w:val="21"/>
          <w:szCs w:val="21"/>
        </w:rPr>
        <w:t xml:space="preserve">The realised weight is estimated from the data rather than assumed, and it is itself a reportable finding: a high weight means the communities genuinely differ from one another, which is worth knowing independently of whether they differ from their controls.</w:t>
      </w:r>
    </w:p>
    <w:p>
      <w:pPr>
        <w:pStyle w:val="Heading3"/>
        <w:spacing w:after="110" w:before="220"/>
      </w:pPr>
      <w:r>
        <w:rPr>
          <w:rFonts w:ascii="Calibri" w:cs="Calibri" w:eastAsia="Calibri" w:hAnsi="Calibri"/>
          <w:b/>
          <w:bCs/>
          <w:color w:val="2E5496"/>
          <w:sz w:val="22"/>
          <w:szCs w:val="22"/>
        </w:rPr>
        <w:t xml:space="preserve">Four rules</w:t>
      </w:r>
    </w:p>
    <w:p>
      <w:pPr>
        <w:pStyle w:val="ListParagraph"/>
        <w:numPr>
          <w:ilvl w:val="0"/>
          <w:numId w:val="19"/>
        </w:numPr>
        <w:spacing w:after="80" w:line="276"/>
        <w:jc w:val="both"/>
      </w:pPr>
      <w:r>
        <w:rPr>
          <w:rFonts w:ascii="Calibri" w:cs="Calibri" w:eastAsia="Calibri" w:hAnsi="Calibri"/>
          <w:sz w:val="21"/>
          <w:szCs w:val="21"/>
        </w:rPr>
        <w:t xml:space="preserve">Deposit BOTH the raw and the shrunk estimate for every community, so a reader can see how far each moved and why.</w:t>
      </w:r>
    </w:p>
    <w:p>
      <w:pPr>
        <w:pStyle w:val="ListParagraph"/>
        <w:numPr>
          <w:ilvl w:val="0"/>
          <w:numId w:val="19"/>
        </w:numPr>
        <w:spacing w:after="80" w:line="276"/>
        <w:jc w:val="both"/>
      </w:pPr>
      <w:r>
        <w:rPr>
          <w:rFonts w:ascii="Calibri" w:cs="Calibri" w:eastAsia="Calibri" w:hAnsi="Calibri"/>
          <w:sz w:val="21"/>
          <w:szCs w:val="21"/>
        </w:rPr>
        <w:t xml:space="preserve">Use the SHRUNK values for the typology and for anything the second study trains on. Use the raw values only for the diagnostic above.</w:t>
      </w:r>
    </w:p>
    <w:p>
      <w:pPr>
        <w:pStyle w:val="ListParagraph"/>
        <w:numPr>
          <w:ilvl w:val="0"/>
          <w:numId w:val="19"/>
        </w:numPr>
        <w:spacing w:after="80" w:line="276"/>
        <w:jc w:val="both"/>
      </w:pPr>
      <w:r>
        <w:rPr>
          <w:rFonts w:ascii="Calibri" w:cs="Calibri" w:eastAsia="Calibri" w:hAnsi="Calibri"/>
          <w:sz w:val="21"/>
          <w:szCs w:val="21"/>
        </w:rPr>
        <w:t xml:space="preserve">Attach an interval to every per-community value. A point estimate alone invites exactly the over-reading the shrinkage exists to prevent.</w:t>
      </w:r>
    </w:p>
    <w:p>
      <w:pPr>
        <w:pStyle w:val="ListParagraph"/>
        <w:numPr>
          <w:ilvl w:val="0"/>
          <w:numId w:val="19"/>
        </w:numPr>
        <w:spacing w:after="80" w:line="276"/>
        <w:jc w:val="both"/>
      </w:pPr>
      <w:r>
        <w:rPr>
          <w:rFonts w:ascii="Calibri" w:cs="Calibri" w:eastAsia="Calibri" w:hAnsi="Calibri"/>
          <w:sz w:val="21"/>
          <w:szCs w:val="21"/>
        </w:rPr>
        <w:t xml:space="preserve">Never publish a ranked table of named communities. Deposit under anonymous codes and keep the key yourself (§10.4).</w:t>
      </w:r>
    </w:p>
    <w:p>
      <w:pPr>
        <w:spacing w:after="140"/>
      </w:pPr>
    </w:p>
    <w:p>
      <w:pPr>
        <w:pStyle w:val="Heading2"/>
        <w:spacing w:after="130" w:before="280"/>
      </w:pPr>
      <w:r>
        <w:rPr>
          <w:rFonts w:ascii="Calibri" w:cs="Calibri" w:eastAsia="Calibri" w:hAnsi="Calibri"/>
          <w:b/>
          <w:bCs/>
          <w:color w:val="2E5496"/>
          <w:sz w:val="25"/>
          <w:szCs w:val="25"/>
        </w:rPr>
        <w:t xml:space="preserve">8.14  Multiplicity, and what not to do</w:t>
      </w:r>
    </w:p>
    <w:p>
      <w:pPr>
        <w:spacing w:after="120" w:line="276"/>
        <w:jc w:val="both"/>
      </w:pPr>
      <w:r>
        <w:rPr>
          <w:rFonts w:ascii="Calibri" w:cs="Calibri" w:eastAsia="Calibri" w:hAnsi="Calibri"/>
          <w:b w:val="false"/>
          <w:bCs w:val="false"/>
          <w:i w:val="false"/>
          <w:iCs w:val="false"/>
          <w:color w:val="000000"/>
          <w:sz w:val="21"/>
          <w:szCs w:val="21"/>
        </w:rPr>
        <w:t xml:space="preserve">H1 and H2 are primary and are tested at the conventional level without correction. H3 to H9 form one family and are corrected within it using false discovery rate control. Report raw and adjusted values for both. Anything not in this list is exploratory, is labelled as such, and never moves up.</w:t>
      </w:r>
    </w:p>
    <w:p>
      <w:pPr>
        <w:pStyle w:val="ListParagraph"/>
        <w:numPr>
          <w:ilvl w:val="0"/>
          <w:numId w:val="3"/>
        </w:numPr>
        <w:spacing w:after="80" w:line="276"/>
        <w:jc w:val="both"/>
      </w:pPr>
      <w:r>
        <w:rPr>
          <w:rFonts w:ascii="Calibri" w:cs="Calibri" w:eastAsia="Calibri" w:hAnsi="Calibri"/>
          <w:b/>
          <w:bCs/>
          <w:i w:val="false"/>
          <w:iCs w:val="false"/>
          <w:sz w:val="21"/>
          <w:szCs w:val="21"/>
        </w:rPr>
        <w:t xml:space="preserve">Do not add covariates until something becomes significant. </w:t>
      </w:r>
      <w:r>
        <w:rPr>
          <w:rFonts w:ascii="Calibri" w:cs="Calibri" w:eastAsia="Calibri" w:hAnsi="Calibri"/>
          <w:b w:val="false"/>
          <w:bCs w:val="false"/>
          <w:i w:val="false"/>
          <w:iCs w:val="false"/>
          <w:sz w:val="21"/>
          <w:szCs w:val="21"/>
        </w:rPr>
        <w:t xml:space="preserve">The list in §3.7 is the list. You may REMOVE one that turns out collinear, and you note that you did.</w:t>
      </w:r>
    </w:p>
    <w:p>
      <w:pPr>
        <w:pStyle w:val="ListParagraph"/>
        <w:numPr>
          <w:ilvl w:val="0"/>
          <w:numId w:val="3"/>
        </w:numPr>
        <w:spacing w:after="80" w:line="276"/>
        <w:jc w:val="both"/>
      </w:pPr>
      <w:r>
        <w:rPr>
          <w:rFonts w:ascii="Calibri" w:cs="Calibri" w:eastAsia="Calibri" w:hAnsi="Calibri"/>
          <w:b/>
          <w:bCs/>
          <w:i w:val="false"/>
          <w:iCs w:val="false"/>
          <w:sz w:val="21"/>
          <w:szCs w:val="21"/>
        </w:rPr>
        <w:t xml:space="preserve">Do not report observed power. </w:t>
      </w:r>
      <w:r>
        <w:rPr>
          <w:rFonts w:ascii="Calibri" w:cs="Calibri" w:eastAsia="Calibri" w:hAnsi="Calibri"/>
          <w:b w:val="false"/>
          <w:bCs w:val="false"/>
          <w:i w:val="false"/>
          <w:iCs w:val="false"/>
          <w:sz w:val="21"/>
          <w:szCs w:val="21"/>
        </w:rPr>
        <w:t xml:space="preserve">It is a restatement of the p-value and carries no information. Report the detectable difference, which does not depend on what you found.</w:t>
      </w:r>
    </w:p>
    <w:p>
      <w:pPr>
        <w:pStyle w:val="ListParagraph"/>
        <w:numPr>
          <w:ilvl w:val="0"/>
          <w:numId w:val="3"/>
        </w:numPr>
        <w:spacing w:after="80" w:line="276"/>
        <w:jc w:val="both"/>
      </w:pPr>
      <w:r>
        <w:rPr>
          <w:rFonts w:ascii="Calibri" w:cs="Calibri" w:eastAsia="Calibri" w:hAnsi="Calibri"/>
          <w:b/>
          <w:bCs/>
          <w:i w:val="false"/>
          <w:iCs w:val="false"/>
          <w:sz w:val="21"/>
          <w:szCs w:val="21"/>
        </w:rPr>
        <w:t xml:space="preserve">Do not promote an exploratory finding. </w:t>
      </w:r>
      <w:r>
        <w:rPr>
          <w:rFonts w:ascii="Calibri" w:cs="Calibri" w:eastAsia="Calibri" w:hAnsi="Calibri"/>
          <w:b w:val="false"/>
          <w:bCs w:val="false"/>
          <w:i w:val="false"/>
          <w:iCs w:val="false"/>
          <w:sz w:val="21"/>
          <w:szCs w:val="21"/>
        </w:rPr>
        <w:t xml:space="preserve">Report it as exploratory and name it as a question for future work. It costs nothing, and a reviewer will notice if you do otherwise.</w:t>
      </w:r>
    </w:p>
    <w:p>
      <w:pPr>
        <w:pStyle w:val="ListParagraph"/>
        <w:numPr>
          <w:ilvl w:val="0"/>
          <w:numId w:val="3"/>
        </w:numPr>
        <w:spacing w:after="80" w:line="276"/>
        <w:jc w:val="both"/>
      </w:pPr>
      <w:r>
        <w:rPr>
          <w:rFonts w:ascii="Calibri" w:cs="Calibri" w:eastAsia="Calibri" w:hAnsi="Calibri"/>
          <w:b/>
          <w:bCs/>
          <w:i w:val="false"/>
          <w:iCs w:val="false"/>
          <w:sz w:val="21"/>
          <w:szCs w:val="21"/>
        </w:rPr>
        <w:t xml:space="preserve">Do not average VCI and PCI. </w:t>
      </w:r>
      <w:r>
        <w:rPr>
          <w:rFonts w:ascii="Calibri" w:cs="Calibri" w:eastAsia="Calibri" w:hAnsi="Calibri"/>
          <w:b w:val="false"/>
          <w:bCs w:val="false"/>
          <w:i w:val="false"/>
          <w:iCs w:val="false"/>
          <w:sz w:val="21"/>
          <w:szCs w:val="21"/>
        </w:rPr>
        <w:t xml:space="preserve">The whole claim is that both hold at once.</w:t>
      </w:r>
    </w:p>
    <w:p>
      <w:r>
        <w:br w:type="page"/>
      </w:r>
    </w:p>
    <w:p>
      <w:pPr>
        <w:pStyle w:val="Heading1"/>
        <w:pBdr>
          <w:bottom w:val="single" w:color="1F3864" w:sz="12" w:space="6"/>
        </w:pBdr>
        <w:spacing w:after="200" w:before="400"/>
      </w:pPr>
      <w:r>
        <w:rPr>
          <w:rFonts w:ascii="Calibri" w:cs="Calibri" w:eastAsia="Calibri" w:hAnsi="Calibri"/>
          <w:b/>
          <w:bCs/>
          <w:color w:val="1F3864"/>
          <w:sz w:val="32"/>
          <w:szCs w:val="32"/>
        </w:rPr>
        <w:t xml:space="preserve">Part 9  ·  Sensitivity, robustness and placebo checks</w:t>
      </w:r>
    </w:p>
    <w:p>
      <w:pPr>
        <w:spacing w:after="120" w:line="276"/>
        <w:jc w:val="both"/>
      </w:pPr>
      <w:r>
        <w:rPr>
          <w:rFonts w:ascii="Calibri" w:cs="Calibri" w:eastAsia="Calibri" w:hAnsi="Calibri"/>
          <w:b w:val="false"/>
          <w:bCs w:val="false"/>
          <w:i w:val="false"/>
          <w:iCs w:val="false"/>
          <w:color w:val="000000"/>
          <w:sz w:val="21"/>
          <w:szCs w:val="21"/>
        </w:rPr>
        <w:t xml:space="preserve">Seventeen sensitivity checks and three placebo tests, each with a name. Report every one, whether or not it changes the conclusion — a robustness section showing only the checks that agreed is not a robustness section.</w:t>
      </w:r>
    </w:p>
    <w:p>
      <w:pPr>
        <w:pStyle w:val="Heading2"/>
        <w:spacing w:after="130" w:before="280"/>
      </w:pPr>
      <w:r>
        <w:rPr>
          <w:rFonts w:ascii="Calibri" w:cs="Calibri" w:eastAsia="Calibri" w:hAnsi="Calibri"/>
          <w:b/>
          <w:bCs/>
          <w:color w:val="2E5496"/>
          <w:sz w:val="25"/>
          <w:szCs w:val="25"/>
        </w:rPr>
        <w:t xml:space="preserve">9.1  Sensitivity and robustness checks</w:t>
      </w:r>
    </w:p>
    <w:p>
      <w:pPr>
        <w:spacing w:after="120" w:line="276"/>
        <w:jc w:val="both"/>
      </w:pPr>
      <w:r>
        <w:rPr>
          <w:rFonts w:ascii="Calibri" w:cs="Calibri" w:eastAsia="Calibri" w:hAnsi="Calibri"/>
          <w:b w:val="false"/>
          <w:bCs w:val="false"/>
          <w:i w:val="false"/>
          <w:iCs w:val="false"/>
          <w:color w:val="000000"/>
          <w:sz w:val="21"/>
          <w:szCs w:val="21"/>
        </w:rPr>
        <w:t xml:space="preserve">Fourteen of these ask the same question: does the result depend on a choice I made? Three do something different. SC7 restricts to rain-fed sites, SC14 tests behaviour in drought years, and SC15 tests whether field boundaries follow the terrain — all three are MECHANISM tests, with a directional prediction rather than a stability check. They are listed here because they use the same machinery, but read them differently: a sensitivity check that changes nothing is reassuring, whereas a mechanism test that changes nothing is informative about the mechanism.</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800"/>
        <w:gridCol w:w="2600"/>
        <w:gridCol w:w="5620"/>
      </w:tblGrid>
      <w:tr>
        <w:trPr>
          <w:tblHeader/>
        </w:trPr>
        <w:tc>
          <w:tcPr>
            <w:tcW w:type="dxa" w:w="8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ID</w:t>
            </w:r>
          </w:p>
        </w:tc>
        <w:tc>
          <w:tcPr>
            <w:tcW w:type="dxa" w:w="26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Name</w:t>
            </w:r>
          </w:p>
        </w:tc>
        <w:tc>
          <w:tcPr>
            <w:tcW w:type="dxa" w:w="56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What it varies, and how to read it</w:t>
            </w:r>
          </w:p>
        </w:tc>
      </w:tr>
      <w:tr>
        <w:tc>
          <w:tcPr>
            <w:tcW w:type="dxa" w:w="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SC1</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Circle-instead-of-polygon sensitivity</w:t>
            </w:r>
          </w:p>
        </w:tc>
        <w:tc>
          <w:tcPr>
            <w:tcW w:type="dxa" w:w="5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REWRITTEN AGAIN IN v3.6. Re-run every analysis over SIZE-MATCHED CIRCLES instead of the drawn polygons. This is how the drawing is checked for bias, and it is the single most important check in this list. If the two agree, your drawing introduced nothing. If they differ, the polygon version is the more accurate — provided the redraw overlap in T8c is high — and the difference is itself reportable.</w:t>
            </w:r>
          </w:p>
        </w:tc>
      </w:tr>
      <w:tr>
        <w:tc>
          <w:tcPr>
            <w:tcW w:type="dxa" w:w="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SC2</w:t>
            </w:r>
          </w:p>
        </w:tc>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Composition–condition decomposition</w:t>
            </w:r>
          </w:p>
        </w:tc>
        <w:tc>
          <w:tcPr>
            <w:tcW w:type="dxa" w:w="5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Re-run A1 on the UNMASKED index and compare against the masked one. Tells you how much of the result is "more vegetation" rather than "better vegetation". Both are legitimate findings; you simply need to know which you have.</w:t>
            </w:r>
          </w:p>
        </w:tc>
      </w:tr>
      <w:tr>
        <w:tc>
          <w:tcPr>
            <w:tcW w:type="dxa" w:w="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SC3</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Aggregation-rule sensitivity</w:t>
            </w:r>
          </w:p>
        </w:tc>
        <w:tc>
          <w:tcPr>
            <w:tcW w:type="dxa" w:w="5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Re-run with the ARITHMETIC mean across dimensions instead of the geometric mean. If the effect appears only under the arithmetic mean, it is being carried by one strong dimension while another collapses — worth knowing and worth reporting.</w:t>
            </w:r>
          </w:p>
        </w:tc>
      </w:tr>
      <w:tr>
        <w:tc>
          <w:tcPr>
            <w:tcW w:type="dxa" w:w="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SC4</w:t>
            </w:r>
          </w:p>
        </w:tc>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Reference-percentile sensitivity</w:t>
            </w:r>
          </w:p>
        </w:tc>
        <w:tc>
          <w:tcPr>
            <w:tcW w:type="dxa" w:w="5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Recompute reference levels at the 90th and 99th percentiles instead of the 95th. Tests whether the result depends on where the ceiling sits.</w:t>
            </w:r>
          </w:p>
        </w:tc>
      </w:tr>
      <w:tr>
        <w:tc>
          <w:tcPr>
            <w:tcW w:type="dxa" w:w="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SC5</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Match-quality restriction</w:t>
            </w:r>
          </w:p>
        </w:tc>
        <w:tc>
          <w:tcPr>
            <w:tcW w:type="dxa" w:w="5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Re-run A1 on well-matched quartets only, excluding the flagged best-available matches from Stage 2.</w:t>
            </w:r>
          </w:p>
        </w:tc>
      </w:tr>
      <w:tr>
        <w:tc>
          <w:tcPr>
            <w:tcW w:type="dxa" w:w="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SC6</w:t>
            </w:r>
          </w:p>
        </w:tc>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Leave-one-climate-group-out</w:t>
            </w:r>
          </w:p>
        </w:tc>
        <w:tc>
          <w:tcPr>
            <w:tcW w:type="dxa" w:w="5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Re-run A1 four times, omitting each Köppen group in turn. A finding that survives removing temperate Europe — your largest block — is a far stronger statement than the pooled result alone.</w:t>
            </w:r>
          </w:p>
        </w:tc>
      </w:tr>
      <w:tr>
        <w:tc>
          <w:tcPr>
            <w:tcW w:type="dxa" w:w="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SC7</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Rain-fed subset restriction</w:t>
            </w:r>
          </w:p>
        </w:tc>
        <w:tc>
          <w:tcPr>
            <w:tcW w:type="dxa" w:w="5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Re-run A1 excluding sites with a raised water-subsidy flag. If the advantage disappears, what you found is irrigation. This is the single most diagnostic sensitivity check in the set.</w:t>
            </w:r>
          </w:p>
        </w:tc>
      </w:tr>
      <w:tr>
        <w:tc>
          <w:tcPr>
            <w:tcW w:type="dxa" w:w="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SC8</w:t>
            </w:r>
          </w:p>
        </w:tc>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Complete-case restriction</w:t>
            </w:r>
          </w:p>
        </w:tc>
        <w:tc>
          <w:tcPr>
            <w:tcW w:type="dxa" w:w="5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Re-run A1 excluding sites with any disturbance flag, any partial index, or any missing dimension.</w:t>
            </w:r>
          </w:p>
        </w:tc>
      </w:tr>
      <w:tr>
        <w:tc>
          <w:tcPr>
            <w:tcW w:type="dxa" w:w="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SC9</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Cloud-threshold sensitivity</w:t>
            </w:r>
          </w:p>
        </w:tc>
        <w:tc>
          <w:tcPr>
            <w:tcW w:type="dxa" w:w="5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Rebuild composites at clearness thresholds of 0.50 and 0.70 instead of 0.60, and re-run A1. Tests whether the result depends on how strictly cloud was screened. Report the change in n_clear at each threshold.</w:t>
            </w:r>
          </w:p>
        </w:tc>
      </w:tr>
      <w:tr>
        <w:tc>
          <w:tcPr>
            <w:tcW w:type="dxa" w:w="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SC10</w:t>
            </w:r>
          </w:p>
        </w:tc>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Built-mask threshold sensitivity</w:t>
            </w:r>
          </w:p>
        </w:tc>
        <w:tc>
          <w:tcPr>
            <w:tcW w:type="dxa" w:w="5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Vary the built-up probability cut from 0.50 to 0.40 and 0.60. A threshold too permissive leaves hard surface in the vegetation measurement; one too strict removes the gardens between buildings, which at these settlements is exactly the vegetation of interest.</w:t>
            </w:r>
          </w:p>
        </w:tc>
      </w:tr>
      <w:tr>
        <w:tc>
          <w:tcPr>
            <w:tcW w:type="dxa" w:w="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SC11</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Unmeasured-confounding sensitivity</w:t>
            </w:r>
          </w:p>
        </w:tc>
        <w:tc>
          <w:tcPr>
            <w:tcW w:type="dxa" w:w="5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How strong would a confounder you did not measure have to be, to explain the result away? Computed as an E-value (§9.2). NEW IN VERSION 3.0 and the most important addition to this list.</w:t>
            </w:r>
          </w:p>
        </w:tc>
      </w:tr>
      <w:tr>
        <w:tc>
          <w:tcPr>
            <w:tcW w:type="dxa" w:w="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SC12</w:t>
            </w:r>
          </w:p>
        </w:tc>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Leave-region-out reference anchoring</w:t>
            </w:r>
          </w:p>
        </w:tc>
        <w:tc>
          <w:tcPr>
            <w:tcW w:type="dxa" w:w="5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Rebuild the reference levels with one region excluded, then score that region’s settlements against them. Tests whether the index is partly endogenous — reference sites and settlements come from overlapping regions, so a settlement may be helping to define the scale it is measured on. NEW IN VERSION 3.0 (§9.3).</w:t>
            </w:r>
          </w:p>
        </w:tc>
      </w:tr>
      <w:tr>
        <w:tc>
          <w:tcPr>
            <w:tcW w:type="dxa" w:w="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SC14</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Drought-year interaction test</w:t>
            </w:r>
          </w:p>
        </w:tc>
        <w:tc>
          <w:tcPr>
            <w:tcW w:type="dxa" w:w="5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Does the settlement advantage WIDEN in a drought year? Different explanations predict differently, so this is a mechanism test rather than a choice-dependence check. Detail in §9.4. NEW IN VERSION 3.2.</w:t>
            </w:r>
          </w:p>
        </w:tc>
      </w:tr>
      <w:tr>
        <w:tc>
          <w:tcPr>
            <w:tcW w:type="dxa" w:w="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SC15</w:t>
            </w:r>
          </w:p>
        </w:tc>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Contour-alignment test</w:t>
            </w:r>
          </w:p>
        </w:tc>
        <w:tc>
          <w:tcPr>
            <w:tcW w:type="dxa" w:w="5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Do land-cover boundaries follow the terrain contour more closely at settlements than at their controls — and more closely still where swales or keyline design are claimed? The most practice-specific measurement in the study. Detail in §9.5. NEW IN VERSION 3.3.</w:t>
            </w:r>
          </w:p>
        </w:tc>
      </w:tr>
      <w:tr>
        <w:tc>
          <w:tcPr>
            <w:tcW w:type="dxa" w:w="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SC17</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Multi-scale window sensitivity</w:t>
            </w:r>
          </w:p>
        </w:tc>
        <w:tc>
          <w:tcPr>
            <w:tcW w:type="dxa" w:w="5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Recompute the three configuration metrics with a 40 m and a 100 m moving window instead of 70 m, and re-run A1. Tests whether the pattern the study detects depends on the scale it looks at. NEW IN v3.6 (§9.6).</w:t>
            </w:r>
          </w:p>
        </w:tc>
      </w:tr>
      <w:tr>
        <w:tc>
          <w:tcPr>
            <w:tcW w:type="dxa" w:w="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SC16</w:t>
            </w:r>
          </w:p>
        </w:tc>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Restricting to confidently drawn sites</w:t>
            </w:r>
          </w:p>
        </w:tc>
        <w:tc>
          <w:tcPr>
            <w:tcW w:type="dxa" w:w="5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Re-run A1 and A9 on TIER A sites only — those where the drawn polygon and the documentary managed area agree within 30 per cent (§7.1a). Also report it restricted to sites whose redraw overlap exceeds 0.85. Tests whether the drawing is doing work it should not. NEW IN v3.4, widened in v3.5, re-scoped to polygons in v3.6.</w:t>
            </w:r>
          </w:p>
        </w:tc>
      </w:tr>
      <w:tr>
        <w:tc>
          <w:tcPr>
            <w:tcW w:type="dxa" w:w="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SC13</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Soil-adjusted index in sparse-vegetation strata</w:t>
            </w:r>
          </w:p>
        </w:tc>
        <w:tc>
          <w:tcPr>
            <w:tcW w:type="dxa" w:w="5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In arid and semi-arid strata, bare soil dominates the signal and NDVI responds to soil brightness as much as to vegetation. Recompute the greenness metrics using a soil-adjusted formulation (SAVI or MSAVI) for those strata only, and re-run A1 there. Matters most for your fourteen arid communities, which are already reported descriptively — this tells you whether their descriptive picture is an artefact of the index. NEW IN VERSION 3.1.</w:t>
            </w:r>
          </w:p>
        </w:tc>
      </w:tr>
    </w:tbl>
    <w:p>
      <w:pPr>
        <w:spacing w:after="140"/>
      </w:pPr>
    </w:p>
    <w:p>
      <w:pPr>
        <w:pStyle w:val="Heading2"/>
        <w:spacing w:after="130" w:before="280"/>
      </w:pPr>
      <w:r>
        <w:rPr>
          <w:rFonts w:ascii="Calibri" w:cs="Calibri" w:eastAsia="Calibri" w:hAnsi="Calibri"/>
          <w:b/>
          <w:bCs/>
          <w:color w:val="2E5496"/>
          <w:sz w:val="25"/>
          <w:szCs w:val="25"/>
        </w:rPr>
        <w:t xml:space="preserve">9.2  SC11 — Unmeasured-confounding sensitivity, in detail</w:t>
      </w:r>
    </w:p>
    <w:p>
      <w:pPr>
        <w:spacing w:after="120" w:line="276"/>
        <w:jc w:val="both"/>
      </w:pPr>
      <w:r>
        <w:rPr>
          <w:rFonts w:ascii="Calibri" w:cs="Calibri" w:eastAsia="Calibri" w:hAnsi="Calibri"/>
          <w:b w:val="false"/>
          <w:bCs w:val="false"/>
          <w:i w:val="false"/>
          <w:iCs w:val="false"/>
          <w:color w:val="000000"/>
          <w:sz w:val="21"/>
          <w:szCs w:val="21"/>
        </w:rPr>
        <w:t xml:space="preserve">Every reviewer of an observational study asks the same question: what about the confounder you did not measure? Version 2.0 had no answer. This is how to give one.</w:t>
      </w:r>
    </w:p>
    <w:p>
      <w:pPr>
        <w:spacing w:after="120" w:line="276"/>
        <w:jc w:val="both"/>
      </w:pPr>
      <w:r>
        <w:rPr>
          <w:rFonts w:ascii="Calibri" w:cs="Calibri" w:eastAsia="Calibri" w:hAnsi="Calibri"/>
          <w:b/>
          <w:bCs/>
          <w:i w:val="false"/>
          <w:iCs w:val="false"/>
          <w:color w:val="000000"/>
          <w:sz w:val="21"/>
          <w:szCs w:val="21"/>
        </w:rPr>
        <w:t xml:space="preserve">The idea. </w:t>
      </w:r>
      <w:r>
        <w:rPr>
          <w:rFonts w:ascii="Calibri" w:cs="Calibri" w:eastAsia="Calibri" w:hAnsi="Calibri"/>
          <w:b w:val="false"/>
          <w:bCs w:val="false"/>
          <w:i w:val="false"/>
          <w:iCs w:val="false"/>
          <w:color w:val="000000"/>
          <w:sz w:val="21"/>
          <w:szCs w:val="21"/>
        </w:rPr>
        <w:t xml:space="preserve">Rather than claiming no confounder exists, compute HOW STRONG one would have to be. If the answer is "twice as strongly associated with both site type and vegetation condition as the strongest variable you did measure", the result is robust. If the answer is "about as strong as elevation", it is fragile — and you would want to know that.</w:t>
      </w:r>
    </w:p>
    <w:p>
      <w:pPr>
        <w:pStyle w:val="ListParagraph"/>
        <w:numPr>
          <w:ilvl w:val="0"/>
          <w:numId w:val="20"/>
        </w:numPr>
        <w:spacing w:after="80" w:line="276"/>
        <w:jc w:val="both"/>
      </w:pPr>
      <w:r>
        <w:rPr>
          <w:rFonts w:ascii="Calibri" w:cs="Calibri" w:eastAsia="Calibri" w:hAnsi="Calibri"/>
          <w:sz w:val="21"/>
          <w:szCs w:val="21"/>
        </w:rPr>
        <w:t xml:space="preserve">Take the primary estimate from A1 in standardised units.</w:t>
      </w:r>
    </w:p>
    <w:p>
      <w:pPr>
        <w:pStyle w:val="ListParagraph"/>
        <w:numPr>
          <w:ilvl w:val="0"/>
          <w:numId w:val="20"/>
        </w:numPr>
        <w:spacing w:after="80" w:line="276"/>
        <w:jc w:val="both"/>
      </w:pPr>
      <w:r>
        <w:rPr>
          <w:rFonts w:ascii="Calibri" w:cs="Calibri" w:eastAsia="Calibri" w:hAnsi="Calibri"/>
          <w:sz w:val="21"/>
          <w:szCs w:val="21"/>
        </w:rPr>
        <w:t xml:space="preserve">Convert to an approximate risk ratio: RR = exp( 0.91 × d ).</w:t>
      </w:r>
    </w:p>
    <w:p>
      <w:pPr>
        <w:pStyle w:val="ListParagraph"/>
        <w:numPr>
          <w:ilvl w:val="0"/>
          <w:numId w:val="20"/>
        </w:numPr>
        <w:spacing w:after="80" w:line="276"/>
        <w:jc w:val="both"/>
      </w:pPr>
      <w:r>
        <w:rPr>
          <w:rFonts w:ascii="Calibri" w:cs="Calibri" w:eastAsia="Calibri" w:hAnsi="Calibri"/>
          <w:sz w:val="21"/>
          <w:szCs w:val="21"/>
        </w:rPr>
        <w:t xml:space="preserve">Compute the E-value: E = RR + √( RR × (RR − 1) ).</w:t>
      </w:r>
    </w:p>
    <w:p>
      <w:pPr>
        <w:pStyle w:val="ListParagraph"/>
        <w:numPr>
          <w:ilvl w:val="0"/>
          <w:numId w:val="20"/>
        </w:numPr>
        <w:spacing w:after="80" w:line="276"/>
        <w:jc w:val="both"/>
      </w:pPr>
      <w:r>
        <w:rPr>
          <w:rFonts w:ascii="Calibri" w:cs="Calibri" w:eastAsia="Calibri" w:hAnsi="Calibri"/>
          <w:sz w:val="21"/>
          <w:szCs w:val="21"/>
        </w:rPr>
        <w:t xml:space="preserve">Repeat for the LOWER bound of the confidence interval. That second figure is the more conservative and the more informative of the two.</w:t>
      </w:r>
    </w:p>
    <w:p>
      <w:pPr>
        <w:pStyle w:val="ListParagraph"/>
        <w:numPr>
          <w:ilvl w:val="0"/>
          <w:numId w:val="20"/>
        </w:numPr>
        <w:spacing w:after="80" w:line="276"/>
        <w:jc w:val="both"/>
      </w:pPr>
      <w:r>
        <w:rPr>
          <w:rFonts w:ascii="Calibri" w:cs="Calibri" w:eastAsia="Calibri" w:hAnsi="Calibri"/>
          <w:sz w:val="21"/>
          <w:szCs w:val="21"/>
        </w:rPr>
        <w:t xml:space="preserve">Compare the E-value against the strength of association of your measured covariates. If elevation is associated with the outcome at a risk ratio of 1.3 and your E-value is 2.2, then an unmeasured confounder would have to be substantially stronger than elevation to overturn the result.</w:t>
      </w:r>
    </w:p>
    <w:p>
      <w:pPr>
        <w:spacing w:after="60"/>
      </w:pP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1800"/>
        <w:gridCol w:w="1800"/>
        <w:gridCol w:w="5420"/>
      </w:tblGrid>
      <w:tr>
        <w:trPr>
          <w:tblHeader/>
        </w:trPr>
        <w:tc>
          <w:tcPr>
            <w:tcW w:type="dxa" w:w="18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Effect (SD)</w:t>
            </w:r>
          </w:p>
        </w:tc>
        <w:tc>
          <w:tcPr>
            <w:tcW w:type="dxa" w:w="18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E-value</w:t>
            </w:r>
          </w:p>
        </w:tc>
        <w:tc>
          <w:tcPr>
            <w:tcW w:type="dxa" w:w="54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How to read it</w:t>
            </w:r>
          </w:p>
        </w:tc>
      </w:tr>
      <w:tr>
        <w:tc>
          <w:tcPr>
            <w:tcW w:type="dxa" w:w="1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0.15</w:t>
            </w:r>
          </w:p>
        </w:tc>
        <w:tc>
          <w:tcPr>
            <w:tcW w:type="dxa" w:w="1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1.56</w:t>
            </w:r>
          </w:p>
        </w:tc>
        <w:tc>
          <w:tcPr>
            <w:tcW w:type="dxa" w:w="5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Modest. A moderately strong unmeasured confounder could account for this.</w:t>
            </w:r>
          </w:p>
        </w:tc>
      </w:tr>
      <w:tr>
        <w:tc>
          <w:tcPr>
            <w:tcW w:type="dxa" w:w="1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0.22</w:t>
            </w:r>
          </w:p>
        </w:tc>
        <w:tc>
          <w:tcPr>
            <w:tcW w:type="dxa" w:w="1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1.74</w:t>
            </w:r>
          </w:p>
        </w:tc>
        <w:tc>
          <w:tcPr>
            <w:tcW w:type="dxa" w:w="5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study’s detectable difference. An unmeasured confounder would need a risk-ratio association of about 1.74 with BOTH site type and condition.</w:t>
            </w:r>
          </w:p>
        </w:tc>
      </w:tr>
      <w:tr>
        <w:tc>
          <w:tcPr>
            <w:tcW w:type="dxa" w:w="1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0.30</w:t>
            </w:r>
          </w:p>
        </w:tc>
        <w:tc>
          <w:tcPr>
            <w:tcW w:type="dxa" w:w="1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1.96</w:t>
            </w:r>
          </w:p>
        </w:tc>
        <w:tc>
          <w:tcPr>
            <w:tcW w:type="dxa" w:w="5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Reasonably robust.</w:t>
            </w:r>
          </w:p>
        </w:tc>
      </w:tr>
      <w:tr>
        <w:tc>
          <w:tcPr>
            <w:tcW w:type="dxa" w:w="1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0.50</w:t>
            </w:r>
          </w:p>
        </w:tc>
        <w:tc>
          <w:tcPr>
            <w:tcW w:type="dxa" w:w="1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2.53</w:t>
            </w:r>
          </w:p>
        </w:tc>
        <w:tc>
          <w:tcPr>
            <w:tcW w:type="dxa" w:w="5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Robust. A confounder this strong and entirely unmeasured is implausible given how much is matched on.</w:t>
            </w:r>
          </w:p>
        </w:tc>
      </w:tr>
    </w:tbl>
    <w:p>
      <w:pPr>
        <w:spacing w:after="120"/>
      </w:pPr>
    </w:p>
    <w:p>
      <w:pPr>
        <w:spacing w:after="120" w:line="276"/>
        <w:jc w:val="both"/>
      </w:pPr>
      <w:r>
        <w:rPr>
          <w:rFonts w:ascii="Calibri" w:cs="Calibri" w:eastAsia="Calibri" w:hAnsi="Calibri"/>
          <w:b/>
          <w:bCs/>
          <w:i w:val="false"/>
          <w:iCs w:val="false"/>
          <w:color w:val="000000"/>
          <w:sz w:val="21"/>
          <w:szCs w:val="21"/>
        </w:rPr>
        <w:t xml:space="preserve">Report it in one sentence and put the reasoning in the methods. </w:t>
      </w:r>
      <w:r>
        <w:rPr>
          <w:rFonts w:ascii="Calibri" w:cs="Calibri" w:eastAsia="Calibri" w:hAnsi="Calibri"/>
          <w:b w:val="false"/>
          <w:bCs w:val="false"/>
          <w:i w:val="false"/>
          <w:iCs w:val="false"/>
          <w:color w:val="000000"/>
          <w:sz w:val="21"/>
          <w:szCs w:val="21"/>
        </w:rPr>
        <w:t xml:space="preserve">"An unmeasured confounder would need to be associated with both settlement status and vegetation condition by a risk ratio of at least 1.74, above and beyond the measured covariates, to explain this result away." That sentence pre-empts the objection rather than waiting for it.</w:t>
      </w:r>
    </w:p>
    <w:p>
      <w:pPr>
        <w:spacing w:after="120" w:line="276"/>
        <w:jc w:val="both"/>
      </w:pPr>
      <w:r>
        <w:rPr>
          <w:rFonts w:ascii="Calibri" w:cs="Calibri" w:eastAsia="Calibri" w:hAnsi="Calibri"/>
          <w:b w:val="false"/>
          <w:bCs w:val="false"/>
          <w:i w:val="false"/>
          <w:iCs w:val="false"/>
          <w:color w:val="000000"/>
          <w:sz w:val="21"/>
          <w:szCs w:val="21"/>
        </w:rPr>
        <w:t xml:space="preserve">Do not overstate what an E-value is. It says how strong a confounder would need to be; it does not say whether one exists. Pair it with the DAG (§3.9), which names the candidate — some unmeasured founder characteristic such as capital, ecological knowledge or organisational capacity.</w:t>
      </w:r>
    </w:p>
    <w:p>
      <w:pPr>
        <w:pStyle w:val="Heading2"/>
        <w:spacing w:after="130" w:before="280"/>
      </w:pPr>
      <w:r>
        <w:rPr>
          <w:rFonts w:ascii="Calibri" w:cs="Calibri" w:eastAsia="Calibri" w:hAnsi="Calibri"/>
          <w:b/>
          <w:bCs/>
          <w:color w:val="2E5496"/>
          <w:sz w:val="25"/>
          <w:szCs w:val="25"/>
        </w:rPr>
        <w:t xml:space="preserve">9.3  SC12 — Leave-region-out reference anchoring, in detail</w:t>
      </w:r>
    </w:p>
    <w:tbl>
      <w:tblPr>
        <w:tblW w:type="dxa" w:w="9020"/>
        <w:tblBorders>
          <w:top w:val="none" w:color="FFFFFF" w:sz="0"/>
          <w:left w:val="single" w:color="C0504D" w:sz="18"/>
          <w:bottom w:val="none" w:color="FFFFFF" w:sz="0"/>
          <w:right w:val="none" w:color="FFFFFF" w:sz="0"/>
          <w:insideH w:val="none" w:color="FFFFFF" w:sz="0"/>
          <w:insideV w:val="none" w:color="FFFFFF" w:sz="0"/>
        </w:tblBorders>
      </w:tblPr>
      <w:tblGrid>
        <w:gridCol w:w="9020"/>
      </w:tblGrid>
      <w:tr>
        <w:tc>
          <w:tcPr>
            <w:tcW w:type="dxa" w:w="9020"/>
            <w:shd w:fill="FDECEC" w:color="auto" w:val="clear"/>
            <w:tcMar>
              <w:top w:type="dxa" w:w="150"/>
              <w:left w:type="dxa" w:w="180"/>
              <w:bottom w:type="dxa" w:w="150"/>
              <w:right w:type="dxa" w:w="180"/>
            </w:tcMar>
          </w:tcPr>
          <w:p>
            <w:pPr>
              <w:spacing w:after="90"/>
            </w:pPr>
            <w:r>
              <w:rPr>
                <w:rFonts w:ascii="Calibri" w:cs="Calibri" w:eastAsia="Calibri" w:hAnsi="Calibri"/>
                <w:b/>
                <w:bCs/>
                <w:color w:val="C0504D"/>
                <w:sz w:val="21"/>
                <w:szCs w:val="21"/>
              </w:rPr>
              <w:t xml:space="preserve">The problem this check exists to find</w:t>
            </w:r>
          </w:p>
          <w:p>
            <w:pPr>
              <w:spacing w:after="90" w:line="276"/>
              <w:jc w:val="both"/>
            </w:pPr>
            <w:r>
              <w:rPr>
                <w:rFonts w:ascii="Calibri" w:cs="Calibri" w:eastAsia="Calibri" w:hAnsi="Calibri"/>
                <w:sz w:val="20"/>
                <w:szCs w:val="20"/>
              </w:rPr>
              <w:t xml:space="preserve">Reference levels are computed from natural, semi-urban and productive sites drawn across the global land surface. But those sites come from the same regions as your settlements — a European settlement is scored against a scale partly defined by European reference sites.</w:t>
            </w:r>
          </w:p>
          <w:p>
            <w:pPr>
              <w:spacing w:after="90" w:line="276"/>
              <w:jc w:val="both"/>
            </w:pPr>
            <w:r>
              <w:rPr>
                <w:rFonts w:ascii="Calibri" w:cs="Calibri" w:eastAsia="Calibri" w:hAnsi="Calibri"/>
                <w:sz w:val="20"/>
                <w:szCs w:val="20"/>
              </w:rPr>
              <w:t xml:space="preserve">That makes the index PARTLY ENDOGENOUS. In the extreme, if a region’s reference sites were themselves influenced by the same regional land-use history as its settlements, the scale and the thing being measured would share a source of variation.</w:t>
            </w:r>
          </w:p>
          <w:p>
            <w:pPr>
              <w:spacing w:after="90" w:line="276"/>
              <w:jc w:val="both"/>
            </w:pPr>
            <w:r>
              <w:rPr>
                <w:rFonts w:ascii="Calibri" w:cs="Calibri" w:eastAsia="Calibri" w:hAnsi="Calibri"/>
                <w:sz w:val="20"/>
                <w:szCs w:val="20"/>
              </w:rPr>
              <w:t xml:space="preserve">This is subtle, it is easy to miss, and it was found by external review rather than by the internal audit.</w:t>
            </w:r>
          </w:p>
        </w:tc>
      </w:tr>
    </w:tbl>
    <w:p>
      <w:pPr>
        <w:spacing w:after="140"/>
      </w:pPr>
    </w:p>
    <w:p>
      <w:pPr>
        <w:pStyle w:val="ListParagraph"/>
        <w:numPr>
          <w:ilvl w:val="0"/>
          <w:numId w:val="21"/>
        </w:numPr>
        <w:spacing w:after="80" w:line="276"/>
        <w:jc w:val="both"/>
      </w:pPr>
      <w:r>
        <w:rPr>
          <w:rFonts w:ascii="Calibri" w:cs="Calibri" w:eastAsia="Calibri" w:hAnsi="Calibri"/>
          <w:sz w:val="21"/>
          <w:szCs w:val="21"/>
        </w:rPr>
        <w:t xml:space="preserve">Choose a region — Europe first, since it is your largest block.</w:t>
      </w:r>
    </w:p>
    <w:p>
      <w:pPr>
        <w:pStyle w:val="ListParagraph"/>
        <w:numPr>
          <w:ilvl w:val="0"/>
          <w:numId w:val="21"/>
        </w:numPr>
        <w:spacing w:after="80" w:line="276"/>
        <w:jc w:val="both"/>
      </w:pPr>
      <w:r>
        <w:rPr>
          <w:rFonts w:ascii="Calibri" w:cs="Calibri" w:eastAsia="Calibri" w:hAnsi="Calibri"/>
          <w:sz w:val="21"/>
          <w:szCs w:val="21"/>
        </w:rPr>
        <w:t xml:space="preserve">Rebuild all reference levels for the strata that region occupies, using ONLY reference sites from OUTSIDE it.</w:t>
      </w:r>
    </w:p>
    <w:p>
      <w:pPr>
        <w:pStyle w:val="ListParagraph"/>
        <w:numPr>
          <w:ilvl w:val="0"/>
          <w:numId w:val="21"/>
        </w:numPr>
        <w:spacing w:after="80" w:line="276"/>
        <w:jc w:val="both"/>
      </w:pPr>
      <w:r>
        <w:rPr>
          <w:rFonts w:ascii="Calibri" w:cs="Calibri" w:eastAsia="Calibri" w:hAnsi="Calibri"/>
          <w:sz w:val="21"/>
          <w:szCs w:val="21"/>
        </w:rPr>
        <w:t xml:space="preserve">Rescale that region’s settlements and controls against those external anchors.</w:t>
      </w:r>
    </w:p>
    <w:p>
      <w:pPr>
        <w:pStyle w:val="ListParagraph"/>
        <w:numPr>
          <w:ilvl w:val="0"/>
          <w:numId w:val="21"/>
        </w:numPr>
        <w:spacing w:after="80" w:line="276"/>
        <w:jc w:val="both"/>
      </w:pPr>
      <w:r>
        <w:rPr>
          <w:rFonts w:ascii="Calibri" w:cs="Calibri" w:eastAsia="Calibri" w:hAnsi="Calibri"/>
          <w:sz w:val="21"/>
          <w:szCs w:val="21"/>
        </w:rPr>
        <w:t xml:space="preserve">Re-run A1 on that region alone, and compare against the result under the standard anchoring.</w:t>
      </w:r>
    </w:p>
    <w:p>
      <w:pPr>
        <w:pStyle w:val="ListParagraph"/>
        <w:numPr>
          <w:ilvl w:val="0"/>
          <w:numId w:val="21"/>
        </w:numPr>
        <w:spacing w:after="80" w:line="276"/>
        <w:jc w:val="both"/>
      </w:pPr>
      <w:r>
        <w:rPr>
          <w:rFonts w:ascii="Calibri" w:cs="Calibri" w:eastAsia="Calibri" w:hAnsi="Calibri"/>
          <w:sz w:val="21"/>
          <w:szCs w:val="21"/>
        </w:rPr>
        <w:t xml:space="preserve">Repeat for each region large enough to support it.</w:t>
      </w:r>
    </w:p>
    <w:p>
      <w:pPr>
        <w:spacing w:after="60"/>
      </w:pPr>
    </w:p>
    <w:p>
      <w:pPr>
        <w:spacing w:after="120" w:line="276"/>
        <w:jc w:val="both"/>
      </w:pPr>
      <w:r>
        <w:rPr>
          <w:rFonts w:ascii="Calibri" w:cs="Calibri" w:eastAsia="Calibri" w:hAnsi="Calibri"/>
          <w:b w:val="false"/>
          <w:bCs w:val="false"/>
          <w:i w:val="false"/>
          <w:iCs w:val="false"/>
          <w:color w:val="000000"/>
          <w:sz w:val="21"/>
          <w:szCs w:val="21"/>
        </w:rPr>
        <w:t xml:space="preserve">If the estimates agree, the index is not meaningfully endogenous and you can say so with evidence. If they diverge, you have learned that the scale is partly regional — which is a genuine limitation and one you would rather find yourself than have found for you.</w:t>
      </w:r>
    </w:p>
    <w:p>
      <w:pPr>
        <w:spacing w:after="120" w:line="276"/>
        <w:jc w:val="both"/>
      </w:pPr>
      <w:r>
        <w:rPr>
          <w:rFonts w:ascii="Calibri" w:cs="Calibri" w:eastAsia="Calibri" w:hAnsi="Calibri"/>
          <w:b w:val="false"/>
          <w:bCs w:val="false"/>
          <w:i w:val="false"/>
          <w:iCs w:val="false"/>
          <w:color w:val="000000"/>
          <w:sz w:val="21"/>
          <w:szCs w:val="21"/>
        </w:rPr>
        <w:t xml:space="preserve">One practical constraint: this only works where enough out-of-region reference sites share the stratum. Where they do not, record the stratum as untestable rather than pooling further to force a result.</w:t>
      </w:r>
    </w:p>
    <w:p>
      <w:pPr>
        <w:pStyle w:val="Heading2"/>
        <w:spacing w:after="130" w:before="280"/>
      </w:pPr>
      <w:r>
        <w:rPr>
          <w:rFonts w:ascii="Calibri" w:cs="Calibri" w:eastAsia="Calibri" w:hAnsi="Calibri"/>
          <w:b/>
          <w:bCs/>
          <w:color w:val="2E5496"/>
          <w:sz w:val="25"/>
          <w:szCs w:val="25"/>
        </w:rPr>
        <w:t xml:space="preserve">9.4  SC14 — Drought-year interaction test, in detail</w:t>
      </w:r>
    </w:p>
    <w:p>
      <w:pPr>
        <w:spacing w:after="120" w:line="276"/>
        <w:jc w:val="both"/>
      </w:pPr>
      <w:r>
        <w:rPr>
          <w:rFonts w:ascii="Calibri" w:cs="Calibri" w:eastAsia="Calibri" w:hAnsi="Calibri"/>
          <w:b w:val="false"/>
          <w:bCs w:val="false"/>
          <w:i w:val="false"/>
          <w:iCs w:val="false"/>
          <w:color w:val="000000"/>
          <w:sz w:val="21"/>
          <w:szCs w:val="21"/>
        </w:rPr>
        <w:t xml:space="preserve">This is the closest thing to a sustainability test that free satellite data allows. Two systems can look identical in normal years and separate sharply in a dry one — and the one that holds is the one whose water retention and rooting depth are real rather than apparent.</w:t>
      </w:r>
    </w:p>
    <w:p>
      <w:pPr>
        <w:pStyle w:val="Heading3"/>
        <w:spacing w:after="110" w:before="220"/>
      </w:pPr>
      <w:r>
        <w:rPr>
          <w:rFonts w:ascii="Calibri" w:cs="Calibri" w:eastAsia="Calibri" w:hAnsi="Calibri"/>
          <w:b/>
          <w:bCs/>
          <w:color w:val="2E5496"/>
          <w:sz w:val="22"/>
          <w:szCs w:val="22"/>
        </w:rPr>
        <w:t xml:space="preserve">Defining a drought — against climatology, not against the window</w:t>
      </w:r>
    </w:p>
    <w:p>
      <w:pPr>
        <w:spacing w:after="120" w:line="276"/>
        <w:jc w:val="both"/>
      </w:pPr>
      <w:r>
        <w:rPr>
          <w:rFonts w:ascii="Calibri" w:cs="Calibri" w:eastAsia="Calibri" w:hAnsi="Calibri"/>
          <w:b/>
          <w:bCs/>
          <w:i w:val="false"/>
          <w:iCs w:val="false"/>
          <w:color w:val="000000"/>
          <w:sz w:val="21"/>
          <w:szCs w:val="21"/>
        </w:rPr>
        <w:t xml:space="preserve">The driest of seven years is not a drought. </w:t>
      </w:r>
      <w:r>
        <w:rPr>
          <w:rFonts w:ascii="Calibri" w:cs="Calibri" w:eastAsia="Calibri" w:hAnsi="Calibri"/>
          <w:b w:val="false"/>
          <w:bCs w:val="false"/>
          <w:i w:val="false"/>
          <w:iCs w:val="false"/>
          <w:color w:val="000000"/>
          <w:sz w:val="21"/>
          <w:szCs w:val="21"/>
        </w:rPr>
        <w:t xml:space="preserve">In a stable climate it may be perfectly ordinary rainfall. A drought must be defined against the site’s own LONG-TERM record, which is why the climate table carries a rainfall percentile computed over at least twenty years (§4.4).</w:t>
      </w:r>
    </w:p>
    <w:p>
      <w:pPr>
        <w:pStyle w:val="ListParagraph"/>
        <w:numPr>
          <w:ilvl w:val="0"/>
          <w:numId w:val="22"/>
        </w:numPr>
        <w:spacing w:after="80" w:line="276"/>
        <w:jc w:val="both"/>
      </w:pPr>
      <w:r>
        <w:rPr>
          <w:rFonts w:ascii="Calibri" w:cs="Calibri" w:eastAsia="Calibri" w:hAnsi="Calibri"/>
          <w:sz w:val="21"/>
          <w:szCs w:val="21"/>
        </w:rPr>
        <w:t xml:space="preserve">For every site, compute the distribution of annual rainfall over at least twenty years of CHIRPS.</w:t>
      </w:r>
    </w:p>
    <w:p>
      <w:pPr>
        <w:pStyle w:val="ListParagraph"/>
        <w:numPr>
          <w:ilvl w:val="0"/>
          <w:numId w:val="22"/>
        </w:numPr>
        <w:spacing w:after="80" w:line="276"/>
        <w:jc w:val="both"/>
      </w:pPr>
      <w:r>
        <w:rPr>
          <w:rFonts w:ascii="Calibri" w:cs="Calibri" w:eastAsia="Calibri" w:hAnsi="Calibri"/>
          <w:sz w:val="21"/>
          <w:szCs w:val="21"/>
        </w:rPr>
        <w:t xml:space="preserve">Flag each of the seven window years as DROUGHT if that year’s rainfall falls below the 15th percentile of that distribution, and NORMAL otherwise.</w:t>
      </w:r>
    </w:p>
    <w:p>
      <w:pPr>
        <w:pStyle w:val="ListParagraph"/>
        <w:numPr>
          <w:ilvl w:val="0"/>
          <w:numId w:val="22"/>
        </w:numPr>
        <w:spacing w:after="80" w:line="276"/>
        <w:jc w:val="both"/>
      </w:pPr>
      <w:r>
        <w:rPr>
          <w:rFonts w:ascii="Calibri" w:cs="Calibri" w:eastAsia="Calibri" w:hAnsi="Calibri"/>
          <w:sz w:val="21"/>
          <w:szCs w:val="21"/>
        </w:rPr>
        <w:t xml:space="preserve">Admit a site to SC14 only if it has at least ONE drought year and at least THREE normal years inside the window. Sites failing this are excluded and counted.</w:t>
      </w:r>
    </w:p>
    <w:p>
      <w:pPr>
        <w:pStyle w:val="ListParagraph"/>
        <w:numPr>
          <w:ilvl w:val="0"/>
          <w:numId w:val="22"/>
        </w:numPr>
        <w:spacing w:after="80" w:line="276"/>
        <w:jc w:val="both"/>
      </w:pPr>
      <w:r>
        <w:rPr>
          <w:rFonts w:ascii="Calibri" w:cs="Calibri" w:eastAsia="Calibri" w:hAnsi="Calibri"/>
          <w:sz w:val="21"/>
          <w:szCs w:val="21"/>
        </w:rPr>
        <w:t xml:space="preserve">Compute VCI separately over the site’s drought years and over its normal years, giving two values per site.</w:t>
      </w:r>
    </w:p>
    <w:p>
      <w:pPr>
        <w:pStyle w:val="ListParagraph"/>
        <w:numPr>
          <w:ilvl w:val="0"/>
          <w:numId w:val="22"/>
        </w:numPr>
        <w:spacing w:after="80" w:line="276"/>
        <w:jc w:val="both"/>
      </w:pPr>
      <w:r>
        <w:rPr>
          <w:rFonts w:ascii="Calibri" w:cs="Calibri" w:eastAsia="Calibri" w:hAnsi="Calibri"/>
          <w:sz w:val="21"/>
          <w:szCs w:val="21"/>
        </w:rPr>
        <w:t xml:space="preserve">Fit VCI ~ SITE_TYPE × DROUGHT + covariates + quartet fixed effects, clustered at site. The INTERACTION is the estimand.</w:t>
      </w:r>
    </w:p>
    <w:p>
      <w:pPr>
        <w:pStyle w:val="ListParagraph"/>
        <w:numPr>
          <w:ilvl w:val="0"/>
          <w:numId w:val="22"/>
        </w:numPr>
        <w:spacing w:after="80" w:line="276"/>
        <w:jc w:val="both"/>
      </w:pPr>
      <w:r>
        <w:rPr>
          <w:rFonts w:ascii="Calibri" w:cs="Calibri" w:eastAsia="Calibri" w:hAnsi="Calibri"/>
          <w:sz w:val="21"/>
          <w:szCs w:val="21"/>
        </w:rPr>
        <w:t xml:space="preserve">Report the interaction SEPARATELY for settlements whose water-subsidy flag is raised and for those where it is not. This split is the whole point of the check.</w:t>
      </w:r>
    </w:p>
    <w:p>
      <w:pPr>
        <w:spacing w:after="60"/>
      </w:pPr>
    </w:p>
    <w:p>
      <w:pPr>
        <w:spacing w:after="120" w:line="276"/>
        <w:jc w:val="both"/>
      </w:pPr>
      <w:r>
        <w:rPr>
          <w:rFonts w:ascii="Calibri" w:cs="Calibri" w:eastAsia="Calibri" w:hAnsi="Calibri"/>
          <w:b w:val="false"/>
          <w:bCs w:val="false"/>
          <w:i w:val="false"/>
          <w:iCs w:val="false"/>
          <w:color w:val="000000"/>
          <w:sz w:val="21"/>
          <w:szCs w:val="21"/>
        </w:rPr>
        <w:t xml:space="preserve">A settlement and its three controls sit within 5 to 50 km of one another, so they share the same weather and the same drought years. The comparison is therefore made within a quartet that experienced one climate, which is what makes it clean.</w:t>
      </w:r>
    </w:p>
    <w:p>
      <w:pPr>
        <w:pStyle w:val="Heading3"/>
        <w:spacing w:after="110" w:before="220"/>
      </w:pPr>
      <w:r>
        <w:rPr>
          <w:rFonts w:ascii="Calibri" w:cs="Calibri" w:eastAsia="Calibri" w:hAnsi="Calibri"/>
          <w:b/>
          <w:bCs/>
          <w:color w:val="2E5496"/>
          <w:sz w:val="22"/>
          <w:szCs w:val="22"/>
        </w:rPr>
        <w:t xml:space="preserve">What the four explanations predict</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2600"/>
        <w:gridCol w:w="3820"/>
      </w:tblGrid>
      <w:tr>
        <w:trPr>
          <w:tblHeader/>
        </w:trPr>
        <w:tc>
          <w:tcPr>
            <w:tcW w:type="dxa" w:w="26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Explanation</w:t>
            </w:r>
          </w:p>
        </w:tc>
        <w:tc>
          <w:tcPr>
            <w:tcW w:type="dxa" w:w="26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Prediction in drought years</w:t>
            </w:r>
          </w:p>
        </w:tc>
        <w:tc>
          <w:tcPr>
            <w:tcW w:type="dxa" w:w="38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How to recognise it</w:t>
            </w:r>
          </w:p>
        </w:tc>
      </w:tr>
      <w:tr>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Management — water retention through mulch, organic matter, swales, deep-rooted perennials</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Advantage WIDENS</w:t>
            </w:r>
          </w:p>
        </w:tc>
        <w:tc>
          <w:tcPr>
            <w:tcW w:type="dxa" w:w="3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Interaction positive AND the water-subsidy flag NOT raised. This is the cleanest single result the check can produce.</w:t>
            </w:r>
          </w:p>
        </w:tc>
      </w:tr>
      <w:tr>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Irrigation</w:t>
            </w:r>
          </w:p>
        </w:tc>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Advantage widens sharply</w:t>
            </w:r>
          </w:p>
        </w:tc>
        <w:tc>
          <w:tcPr>
            <w:tcW w:type="dxa" w:w="3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Interaction positive but concentrated among FLAGGED settlements. What you have found is imported water, not retention.</w:t>
            </w:r>
          </w:p>
        </w:tc>
      </w:tr>
      <w:tr>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Site endowment — better soil or landscape position</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Advantage roughly constant, or modestly wider</w:t>
            </w:r>
          </w:p>
        </w:tc>
        <w:tc>
          <w:tcPr>
            <w:tcW w:type="dxa" w:w="3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Interaction near zero while the main effect stays positive.</w:t>
            </w:r>
          </w:p>
        </w:tc>
      </w:tr>
      <w:tr>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No real effect</w:t>
            </w:r>
          </w:p>
        </w:tc>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Advantage near zero throughout</w:t>
            </w:r>
          </w:p>
        </w:tc>
        <w:tc>
          <w:tcPr>
            <w:tcW w:type="dxa" w:w="3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Both the main effect and the interaction indistinguishable from zero.</w:t>
            </w:r>
          </w:p>
        </w:tc>
      </w:tr>
    </w:tbl>
    <w:p>
      <w:pPr>
        <w:spacing w:after="120"/>
      </w:pPr>
    </w:p>
    <w:p>
      <w:pPr>
        <w:spacing w:after="120" w:line="276"/>
        <w:jc w:val="both"/>
      </w:pPr>
      <w:r>
        <w:rPr>
          <w:rFonts w:ascii="Calibri" w:cs="Calibri" w:eastAsia="Calibri" w:hAnsi="Calibri"/>
          <w:b/>
          <w:bCs/>
          <w:i w:val="false"/>
          <w:iCs w:val="false"/>
          <w:color w:val="000000"/>
          <w:sz w:val="21"/>
          <w:szCs w:val="21"/>
        </w:rPr>
        <w:t xml:space="preserve">The result worth hoping for, stated in advance. </w:t>
      </w:r>
      <w:r>
        <w:rPr>
          <w:rFonts w:ascii="Calibri" w:cs="Calibri" w:eastAsia="Calibri" w:hAnsi="Calibri"/>
          <w:b w:val="false"/>
          <w:bCs w:val="false"/>
          <w:i w:val="false"/>
          <w:iCs w:val="false"/>
          <w:color w:val="000000"/>
          <w:sz w:val="21"/>
          <w:szCs w:val="21"/>
        </w:rPr>
        <w:t xml:space="preserve">An interaction that is positive among UNFLAGGED settlements is the management story with irrigation already ruled out, and it is hard to explain by anything else. An interaction positive only among flagged settlements is the irrigation story — and you would far rather find that yourself than have a reviewer infer it.</w:t>
      </w:r>
    </w:p>
    <w:p>
      <w:pPr>
        <w:pStyle w:val="Heading3"/>
        <w:spacing w:after="110" w:before="220"/>
      </w:pPr>
      <w:r>
        <w:rPr>
          <w:rFonts w:ascii="Calibri" w:cs="Calibri" w:eastAsia="Calibri" w:hAnsi="Calibri"/>
          <w:b/>
          <w:bCs/>
          <w:color w:val="2E5496"/>
          <w:sz w:val="22"/>
          <w:szCs w:val="22"/>
        </w:rPr>
        <w:t xml:space="preserve">Three honest limits</w:t>
      </w:r>
    </w:p>
    <w:p>
      <w:pPr>
        <w:pStyle w:val="ListParagraph"/>
        <w:numPr>
          <w:ilvl w:val="0"/>
          <w:numId w:val="3"/>
        </w:numPr>
        <w:spacing w:after="80" w:line="276"/>
        <w:jc w:val="both"/>
      </w:pPr>
      <w:r>
        <w:rPr>
          <w:rFonts w:ascii="Calibri" w:cs="Calibri" w:eastAsia="Calibri" w:hAnsi="Calibri"/>
          <w:b/>
          <w:bCs/>
          <w:i w:val="false"/>
          <w:iCs w:val="false"/>
          <w:sz w:val="21"/>
          <w:szCs w:val="21"/>
        </w:rPr>
        <w:t xml:space="preserve">It is a class-X quantity, not class M. </w:t>
      </w:r>
      <w:r>
        <w:rPr>
          <w:rFonts w:ascii="Calibri" w:cs="Calibri" w:eastAsia="Calibri" w:hAnsi="Calibri"/>
          <w:b w:val="false"/>
          <w:bCs w:val="false"/>
          <w:i w:val="false"/>
          <w:iCs w:val="false"/>
          <w:sz w:val="21"/>
          <w:szCs w:val="21"/>
        </w:rPr>
        <w:t xml:space="preserve">Drought resistance comes from management — but also from clay content, soil depth and position in the landscape. You CAN buy a parcel that holds water better. Version 3.2 restores water-proximity matching (Stage 2), which removes the most obvious part of that, but soil water-holding capacity is still not matched on.</w:t>
      </w:r>
    </w:p>
    <w:p>
      <w:pPr>
        <w:pStyle w:val="ListParagraph"/>
        <w:numPr>
          <w:ilvl w:val="0"/>
          <w:numId w:val="3"/>
        </w:numPr>
        <w:spacing w:after="80" w:line="276"/>
        <w:jc w:val="both"/>
      </w:pPr>
      <w:r>
        <w:rPr>
          <w:rFonts w:ascii="Calibri" w:cs="Calibri" w:eastAsia="Calibri" w:hAnsi="Calibri"/>
          <w:b/>
          <w:bCs/>
          <w:i w:val="false"/>
          <w:iCs w:val="false"/>
          <w:sz w:val="21"/>
          <w:szCs w:val="21"/>
        </w:rPr>
        <w:t xml:space="preserve">The qualifying subsample is not random. </w:t>
      </w:r>
      <w:r>
        <w:rPr>
          <w:rFonts w:ascii="Calibri" w:cs="Calibri" w:eastAsia="Calibri" w:hAnsi="Calibri"/>
          <w:b w:val="false"/>
          <w:bCs w:val="false"/>
          <w:i w:val="false"/>
          <w:iCs w:val="false"/>
          <w:sz w:val="21"/>
          <w:szCs w:val="21"/>
        </w:rPr>
        <w:t xml:space="preserve">Drought incidence follows climate. Arid and Mediterranean sites will qualify; humid maritime sites often will not. Report how many sites qualified and how they are distributed by climate group, and scope the finding to them. This is the same problem that led the earlier design to drop radar, and the remedy is the same: describe the subsample rather than pretend it is the sample.</w:t>
      </w:r>
    </w:p>
    <w:p>
      <w:pPr>
        <w:pStyle w:val="ListParagraph"/>
        <w:numPr>
          <w:ilvl w:val="0"/>
          <w:numId w:val="3"/>
        </w:numPr>
        <w:spacing w:after="80" w:line="276"/>
        <w:jc w:val="both"/>
      </w:pPr>
      <w:r>
        <w:rPr>
          <w:rFonts w:ascii="Calibri" w:cs="Calibri" w:eastAsia="Calibri" w:hAnsi="Calibri"/>
          <w:b/>
          <w:bCs/>
          <w:i w:val="false"/>
          <w:iCs w:val="false"/>
          <w:sz w:val="21"/>
          <w:szCs w:val="21"/>
        </w:rPr>
        <w:t xml:space="preserve">Its causal weight is moderate, not high. </w:t>
      </w:r>
      <w:r>
        <w:rPr>
          <w:rFonts w:ascii="Calibri" w:cs="Calibri" w:eastAsia="Calibri" w:hAnsi="Calibri"/>
          <w:b w:val="false"/>
          <w:bCs w:val="false"/>
          <w:i w:val="false"/>
          <w:iCs w:val="false"/>
          <w:sz w:val="21"/>
          <w:szCs w:val="21"/>
        </w:rPr>
        <w:t xml:space="preserve">Weaker than the longitudinal cohort (A8) and weaker than the age gradient (A4); roughly comparable to the radial gradient (A3). Present it as one converging line among several, not as a decisive test.</w:t>
      </w:r>
    </w:p>
    <w:p>
      <w:pPr>
        <w:spacing w:after="60"/>
      </w:pPr>
    </w:p>
    <w:p>
      <w:pPr>
        <w:spacing w:after="120" w:line="276"/>
        <w:jc w:val="both"/>
      </w:pPr>
      <w:r>
        <w:rPr>
          <w:rFonts w:ascii="Calibri" w:cs="Calibri" w:eastAsia="Calibri" w:hAnsi="Calibri"/>
          <w:b/>
          <w:bCs/>
          <w:i w:val="false"/>
          <w:iCs w:val="false"/>
          <w:color w:val="000000"/>
          <w:sz w:val="21"/>
          <w:szCs w:val="21"/>
        </w:rPr>
        <w:t xml:space="preserve">Why it is a sensitivity check and not an index metric. </w:t>
      </w:r>
      <w:r>
        <w:rPr>
          <w:rFonts w:ascii="Calibri" w:cs="Calibri" w:eastAsia="Calibri" w:hAnsi="Calibri"/>
          <w:b w:val="false"/>
          <w:bCs w:val="false"/>
          <w:i w:val="false"/>
          <w:iCs w:val="false"/>
          <w:color w:val="000000"/>
          <w:sz w:val="21"/>
          <w:szCs w:val="21"/>
        </w:rPr>
        <w:t xml:space="preserve">As a metric inside VCI it would be missing at many sites, and under the missing-data rules of §5.9 that absence would propagate into the persistence dimension and then into VCI itself. Worse, the missingness would be geographically patterned. As a standalone check it has neither problem: it uses whatever sites qualify, names them, and contaminates nothing.</w:t>
      </w:r>
    </w:p>
    <w:p>
      <w:pPr>
        <w:spacing w:after="140"/>
      </w:pPr>
    </w:p>
    <w:p>
      <w:pPr>
        <w:pStyle w:val="Heading2"/>
        <w:spacing w:after="130" w:before="280"/>
      </w:pPr>
      <w:r>
        <w:rPr>
          <w:rFonts w:ascii="Calibri" w:cs="Calibri" w:eastAsia="Calibri" w:hAnsi="Calibri"/>
          <w:b/>
          <w:bCs/>
          <w:color w:val="2E5496"/>
          <w:sz w:val="25"/>
          <w:szCs w:val="25"/>
        </w:rPr>
        <w:t xml:space="preserve">9.5  SC15 — Contour-alignment test, in detail</w:t>
      </w:r>
    </w:p>
    <w:p>
      <w:pPr>
        <w:spacing w:after="120" w:line="276"/>
        <w:jc w:val="both"/>
      </w:pPr>
      <w:r>
        <w:rPr>
          <w:rFonts w:ascii="Calibri" w:cs="Calibri" w:eastAsia="Calibri" w:hAnsi="Calibri"/>
          <w:b w:val="false"/>
          <w:bCs w:val="false"/>
          <w:i w:val="false"/>
          <w:iCs w:val="false"/>
          <w:color w:val="000000"/>
          <w:sz w:val="21"/>
          <w:szCs w:val="21"/>
        </w:rPr>
        <w:t xml:space="preserve">Permaculture and keyline design place cultivation features ALONG the terrain contour, so that water is slowed, spread and infiltrated rather than shed. Mechanised agriculture does the opposite: field boundaries follow property lines and machinery turning circles, and ignore the slope. That difference is visible from orbit even when the swale itself is not.</w:t>
      </w:r>
    </w:p>
    <w:p>
      <w:pPr>
        <w:spacing w:after="120" w:line="276"/>
        <w:jc w:val="both"/>
      </w:pPr>
      <w:r>
        <w:rPr>
          <w:rFonts w:ascii="Calibri" w:cs="Calibri" w:eastAsia="Calibri" w:hAnsi="Calibri"/>
          <w:b/>
          <w:bCs/>
          <w:i w:val="false"/>
          <w:iCs w:val="false"/>
          <w:color w:val="000000"/>
          <w:sz w:val="21"/>
          <w:szCs w:val="21"/>
        </w:rPr>
        <w:t xml:space="preserve">This is the study’s answer to a specific problem. </w:t>
      </w:r>
      <w:r>
        <w:rPr>
          <w:rFonts w:ascii="Calibri" w:cs="Calibri" w:eastAsia="Calibri" w:hAnsi="Calibri"/>
          <w:b w:val="false"/>
          <w:bCs w:val="false"/>
          <w:i w:val="false"/>
          <w:iCs w:val="false"/>
          <w:color w:val="000000"/>
          <w:sz w:val="21"/>
          <w:szCs w:val="21"/>
        </w:rPr>
        <w:t xml:space="preserve">A swale is one to three metres wide and therefore sub-pixel at ten metres — the study cannot see the earthwork. But it CAN see that the vegetation and land-cover boundaries around it run along the contour rather than across it. The design leaves a field-scale fingerprint even though its elements are invisible.</w:t>
      </w:r>
    </w:p>
    <w:p>
      <w:pPr>
        <w:pStyle w:val="Heading3"/>
        <w:spacing w:after="110" w:before="220"/>
      </w:pPr>
      <w:r>
        <w:rPr>
          <w:rFonts w:ascii="Calibri" w:cs="Calibri" w:eastAsia="Calibri" w:hAnsi="Calibri"/>
          <w:b/>
          <w:bCs/>
          <w:color w:val="2E5496"/>
          <w:sz w:val="22"/>
          <w:szCs w:val="22"/>
        </w:rPr>
        <w:t xml:space="preserve">How it is computed</w:t>
      </w:r>
    </w:p>
    <w:p>
      <w:pPr>
        <w:pStyle w:val="ListParagraph"/>
        <w:numPr>
          <w:ilvl w:val="0"/>
          <w:numId w:val="23"/>
        </w:numPr>
        <w:spacing w:after="80" w:line="276"/>
        <w:jc w:val="both"/>
      </w:pPr>
      <w:r>
        <w:rPr>
          <w:rFonts w:ascii="Calibri" w:cs="Calibri" w:eastAsia="Calibri" w:hAnsi="Calibri"/>
          <w:sz w:val="21"/>
          <w:szCs w:val="21"/>
        </w:rPr>
        <w:t xml:space="preserve">Derive terrain ASPECT from the elevation model. The contour direction is perpendicular to aspect.</w:t>
      </w:r>
    </w:p>
    <w:p>
      <w:pPr>
        <w:pStyle w:val="ListParagraph"/>
        <w:numPr>
          <w:ilvl w:val="0"/>
          <w:numId w:val="23"/>
        </w:numPr>
        <w:spacing w:after="80" w:line="276"/>
        <w:jc w:val="both"/>
      </w:pPr>
      <w:r>
        <w:rPr>
          <w:rFonts w:ascii="Calibri" w:cs="Calibri" w:eastAsia="Calibri" w:hAnsi="Calibri"/>
          <w:sz w:val="21"/>
          <w:szCs w:val="21"/>
        </w:rPr>
        <w:t xml:space="preserve">Compute the ORIENTATION of land-cover boundaries within a 70 m moving window, from the gradient of the class-probability surface. Weight each pixel by gradient magnitude, so that weak boundaries in homogeneous ground do not dominate.</w:t>
      </w:r>
    </w:p>
    <w:p>
      <w:pPr>
        <w:pStyle w:val="ListParagraph"/>
        <w:numPr>
          <w:ilvl w:val="0"/>
          <w:numId w:val="23"/>
        </w:numPr>
        <w:spacing w:after="80" w:line="276"/>
        <w:jc w:val="both"/>
      </w:pPr>
      <w:r>
        <w:rPr>
          <w:rFonts w:ascii="Calibri" w:cs="Calibri" w:eastAsia="Calibri" w:hAnsi="Calibri"/>
          <w:sz w:val="21"/>
          <w:szCs w:val="21"/>
        </w:rPr>
        <w:t xml:space="preserve">For every pixel, take the angular agreement between the boundary orientation and the contour direction, and average it over the zone. The result runs from 0 to 1, where 1 means boundaries follow the contour exactly.</w:t>
      </w:r>
    </w:p>
    <w:p>
      <w:pPr>
        <w:pStyle w:val="ListParagraph"/>
        <w:numPr>
          <w:ilvl w:val="0"/>
          <w:numId w:val="23"/>
        </w:numPr>
        <w:spacing w:after="80" w:line="276"/>
        <w:jc w:val="both"/>
      </w:pPr>
      <w:r>
        <w:rPr>
          <w:rFonts w:ascii="Calibri" w:cs="Calibri" w:eastAsia="Calibri" w:hAnsi="Calibri"/>
          <w:sz w:val="21"/>
          <w:szCs w:val="21"/>
        </w:rPr>
        <w:t xml:space="preserve">RETURN NULL where the local slope falls below a declared threshold. On flat ground aspect is undefined or unstable, and a value computed there would be noise that the analysis would read as low alignment.</w:t>
      </w:r>
    </w:p>
    <w:p>
      <w:pPr>
        <w:pStyle w:val="ListParagraph"/>
        <w:numPr>
          <w:ilvl w:val="0"/>
          <w:numId w:val="23"/>
        </w:numPr>
        <w:spacing w:after="80" w:line="276"/>
        <w:jc w:val="both"/>
      </w:pPr>
      <w:r>
        <w:rPr>
          <w:rFonts w:ascii="Calibri" w:cs="Calibri" w:eastAsia="Calibri" w:hAnsi="Calibri"/>
          <w:sz w:val="21"/>
          <w:szCs w:val="21"/>
        </w:rPr>
        <w:t xml:space="preserve">Report the proportion of sites returning null, and their distribution by terrain class. This is a subsample, and it must be described as one.</w:t>
      </w:r>
    </w:p>
    <w:p>
      <w:pPr>
        <w:spacing w:after="60"/>
      </w:pPr>
    </w:p>
    <w:p>
      <w:pPr>
        <w:pStyle w:val="Heading3"/>
        <w:spacing w:after="110" w:before="220"/>
      </w:pPr>
      <w:r>
        <w:rPr>
          <w:rFonts w:ascii="Calibri" w:cs="Calibri" w:eastAsia="Calibri" w:hAnsi="Calibri"/>
          <w:b/>
          <w:bCs/>
          <w:color w:val="2E5496"/>
          <w:sz w:val="22"/>
          <w:szCs w:val="22"/>
        </w:rPr>
        <w:t xml:space="preserve">Two comparisons, from the same metric</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200"/>
        <w:gridCol w:w="3200"/>
        <w:gridCol w:w="3620"/>
      </w:tblGrid>
      <w:tr>
        <w:trPr>
          <w:tblHeader/>
        </w:trPr>
        <w:tc>
          <w:tcPr>
            <w:tcW w:type="dxa" w:w="22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Comparison</w:t>
            </w:r>
          </w:p>
        </w:tc>
        <w:tc>
          <w:tcPr>
            <w:tcW w:type="dxa" w:w="32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What it asks</w:t>
            </w:r>
          </w:p>
        </w:tc>
        <w:tc>
          <w:tcPr>
            <w:tcW w:type="dxa" w:w="36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How to read it</w:t>
            </w:r>
          </w:p>
        </w:tc>
      </w:tr>
      <w:tr>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Settlement versus its matched controls, on sloping sites only</w:t>
            </w:r>
          </w:p>
        </w:tc>
        <w:tc>
          <w:tcPr>
            <w:tcW w:type="dxa" w:w="3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Do intentional communities align their land to the terrain more than comparable villages do?</w:t>
            </w:r>
          </w:p>
        </w:tc>
        <w:tc>
          <w:tcPr>
            <w:tcW w:type="dxa" w:w="3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positive difference is strong management-diagnostic evidence, because contour placement is a design decision that cannot be inherited with a parcel. This is class M and it is one of the few metrics in the study where site selection has almost no purchase.</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Within settlements: those claiming swales or keyline design (PC02) against those not claiming them</w:t>
            </w:r>
          </w:p>
        </w:tc>
        <w:tc>
          <w:tcPr>
            <w:tcW w:type="dxa" w:w="3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Does the claim predict the signature?</w:t>
            </w:r>
          </w:p>
        </w:tc>
        <w:tc>
          <w:tcPr>
            <w:tcW w:type="dxa" w:w="3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This is the single most practice-specific test in the whole codebook. If PC02 claimants show higher contour alignment than non-claimants, that is claims-versus-delivery working at its sharpest.</w:t>
            </w:r>
          </w:p>
        </w:tc>
      </w:tr>
    </w:tbl>
    <w:p>
      <w:pPr>
        <w:spacing w:after="120"/>
      </w:pPr>
    </w:p>
    <w:p>
      <w:pPr>
        <w:pStyle w:val="Heading3"/>
        <w:spacing w:after="110" w:before="220"/>
      </w:pPr>
      <w:r>
        <w:rPr>
          <w:rFonts w:ascii="Calibri" w:cs="Calibri" w:eastAsia="Calibri" w:hAnsi="Calibri"/>
          <w:b/>
          <w:bCs/>
          <w:color w:val="2E5496"/>
          <w:sz w:val="22"/>
          <w:szCs w:val="22"/>
        </w:rPr>
        <w:t xml:space="preserve">Three honest limits</w:t>
      </w:r>
    </w:p>
    <w:p>
      <w:pPr>
        <w:pStyle w:val="ListParagraph"/>
        <w:numPr>
          <w:ilvl w:val="0"/>
          <w:numId w:val="3"/>
        </w:numPr>
        <w:spacing w:after="80" w:line="276"/>
        <w:jc w:val="both"/>
      </w:pPr>
      <w:r>
        <w:rPr>
          <w:rFonts w:ascii="Calibri" w:cs="Calibri" w:eastAsia="Calibri" w:hAnsi="Calibri"/>
          <w:b/>
          <w:bCs/>
          <w:i w:val="false"/>
          <w:iCs w:val="false"/>
          <w:sz w:val="21"/>
          <w:szCs w:val="21"/>
        </w:rPr>
        <w:t xml:space="preserve">It is null on flat ground, and that is not random. </w:t>
      </w:r>
      <w:r>
        <w:rPr>
          <w:rFonts w:ascii="Calibri" w:cs="Calibri" w:eastAsia="Calibri" w:hAnsi="Calibri"/>
          <w:b w:val="false"/>
          <w:bCs w:val="false"/>
          <w:i w:val="false"/>
          <w:iCs w:val="false"/>
          <w:sz w:val="21"/>
          <w:szCs w:val="21"/>
        </w:rPr>
        <w:t xml:space="preserve">Communities on floodplains and plains contribute nothing to this check, and terrain correlates with region and with land price. Report which sites qualified rather than presenting the result as if it covered the sample.</w:t>
      </w:r>
    </w:p>
    <w:p>
      <w:pPr>
        <w:pStyle w:val="ListParagraph"/>
        <w:numPr>
          <w:ilvl w:val="0"/>
          <w:numId w:val="3"/>
        </w:numPr>
        <w:spacing w:after="80" w:line="276"/>
        <w:jc w:val="both"/>
      </w:pPr>
      <w:r>
        <w:rPr>
          <w:rFonts w:ascii="Calibri" w:cs="Calibri" w:eastAsia="Calibri" w:hAnsi="Calibri"/>
          <w:b/>
          <w:bCs/>
          <w:i w:val="false"/>
          <w:iCs w:val="false"/>
          <w:sz w:val="21"/>
          <w:szCs w:val="21"/>
        </w:rPr>
        <w:t xml:space="preserve">It detects contour-FOLLOWING, not swales. </w:t>
      </w:r>
      <w:r>
        <w:rPr>
          <w:rFonts w:ascii="Calibri" w:cs="Calibri" w:eastAsia="Calibri" w:hAnsi="Calibri"/>
          <w:b w:val="false"/>
          <w:bCs w:val="false"/>
          <w:i w:val="false"/>
          <w:iCs w:val="false"/>
          <w:sz w:val="21"/>
          <w:szCs w:val="21"/>
        </w:rPr>
        <w:t xml:space="preserve">A terraced vineyard, a contour-ploughed conventional farm and a permaculture swale system all score highly. The within-settlement PC02 comparison is what separates the intentional case from the conventional one; the settlement-versus-control comparison alone does not.</w:t>
      </w:r>
    </w:p>
    <w:p>
      <w:pPr>
        <w:pStyle w:val="ListParagraph"/>
        <w:numPr>
          <w:ilvl w:val="0"/>
          <w:numId w:val="3"/>
        </w:numPr>
        <w:spacing w:after="80" w:line="276"/>
        <w:jc w:val="both"/>
      </w:pPr>
      <w:r>
        <w:rPr>
          <w:rFonts w:ascii="Calibri" w:cs="Calibri" w:eastAsia="Calibri" w:hAnsi="Calibri"/>
          <w:b/>
          <w:bCs/>
          <w:i w:val="false"/>
          <w:iCs w:val="false"/>
          <w:sz w:val="21"/>
          <w:szCs w:val="21"/>
        </w:rPr>
        <w:t xml:space="preserve">It stays OUTSIDE the index. </w:t>
      </w:r>
      <w:r>
        <w:rPr>
          <w:rFonts w:ascii="Calibri" w:cs="Calibri" w:eastAsia="Calibri" w:hAnsi="Calibri"/>
          <w:b w:val="false"/>
          <w:bCs w:val="false"/>
          <w:i w:val="false"/>
          <w:iCs w:val="false"/>
          <w:sz w:val="21"/>
          <w:szCs w:val="21"/>
        </w:rPr>
        <w:t xml:space="preserve">Because it is null at every flat site, folding it into the configuration dimension would propagate terrain-patterned missingness into VCI. The same reasoning that keeps the drought test out of the index keeps this out (§9.4).</w:t>
      </w:r>
    </w:p>
    <w:p>
      <w:pPr>
        <w:spacing w:after="140"/>
      </w:pPr>
    </w:p>
    <w:p>
      <w:pPr>
        <w:pStyle w:val="Heading2"/>
        <w:spacing w:after="130" w:before="280"/>
      </w:pPr>
      <w:r>
        <w:rPr>
          <w:rFonts w:ascii="Calibri" w:cs="Calibri" w:eastAsia="Calibri" w:hAnsi="Calibri"/>
          <w:b/>
          <w:bCs/>
          <w:color w:val="2E5496"/>
          <w:sz w:val="25"/>
          <w:szCs w:val="25"/>
        </w:rPr>
        <w:t xml:space="preserve">9.6  SC17 — Multi-scale window sensitivity, in detail</w:t>
      </w:r>
    </w:p>
    <w:p>
      <w:pPr>
        <w:spacing w:after="120" w:line="276"/>
        <w:jc w:val="both"/>
      </w:pPr>
      <w:r>
        <w:rPr>
          <w:rFonts w:ascii="Calibri" w:cs="Calibri" w:eastAsia="Calibri" w:hAnsi="Calibri"/>
          <w:b w:val="false"/>
          <w:bCs w:val="false"/>
          <w:i w:val="false"/>
          <w:iCs w:val="false"/>
          <w:color w:val="000000"/>
          <w:sz w:val="21"/>
          <w:szCs w:val="21"/>
        </w:rPr>
        <w:t xml:space="preserve">The three configuration metrics are computed inside a moving window of 70 metre radius. That window holds 153 pixels, and each metric measures how much those pixels DIFFER from one another — not their average. A community growing eight crops in strips gets a high value; a single wheat field gets a low one, even when the two have identical mean greenness.</w:t>
      </w:r>
    </w:p>
    <w:p>
      <w:pPr>
        <w:spacing w:after="120" w:line="276"/>
        <w:jc w:val="both"/>
      </w:pPr>
      <w:r>
        <w:rPr>
          <w:rFonts w:ascii="Calibri" w:cs="Calibri" w:eastAsia="Calibri" w:hAnsi="Calibri"/>
          <w:b/>
          <w:bCs/>
          <w:i w:val="false"/>
          <w:iCs w:val="false"/>
          <w:color w:val="000000"/>
          <w:sz w:val="21"/>
          <w:szCs w:val="21"/>
        </w:rPr>
        <w:t xml:space="preserve">So the window does not average away fine detail — measuring fine detail is its whole job. </w:t>
      </w:r>
      <w:r>
        <w:rPr>
          <w:rFonts w:ascii="Calibri" w:cs="Calibri" w:eastAsia="Calibri" w:hAnsi="Calibri"/>
          <w:b w:val="false"/>
          <w:bCs w:val="false"/>
          <w:i w:val="false"/>
          <w:iCs w:val="false"/>
          <w:color w:val="000000"/>
          <w:sz w:val="21"/>
          <w:szCs w:val="21"/>
        </w:rPr>
        <w:t xml:space="preserve">But the window size does decide WHICH SCALE of pattern it can see. A 70 m window detects variation that repeats every ten to a hundred metres, which is bed-block and small-field scale. A pattern repeating every three hundred metres sits inside one window and looks uniform; a pattern repeating every five metres is blurred by the sensor before the window ever sees it.</w:t>
      </w:r>
    </w:p>
    <w:p>
      <w:pPr>
        <w:spacing w:after="120" w:line="276"/>
        <w:jc w:val="both"/>
      </w:pPr>
      <w:r>
        <w:rPr>
          <w:rFonts w:ascii="Calibri" w:cs="Calibri" w:eastAsia="Calibri" w:hAnsi="Calibri"/>
          <w:b w:val="false"/>
          <w:bCs w:val="false"/>
          <w:i w:val="false"/>
          <w:iCs w:val="false"/>
          <w:color w:val="000000"/>
          <w:sz w:val="21"/>
          <w:szCs w:val="21"/>
        </w:rPr>
        <w:t xml:space="preserve">SC17 asks whether the result depends on that choice. Recompute VM10, VM11 and VM12 with a 40 metre window and again with a 100 metre window, rebuild the configuration dimension and the index from each, and re-run A1.</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1800"/>
        <w:gridCol w:w="1600"/>
        <w:gridCol w:w="5620"/>
      </w:tblGrid>
      <w:tr>
        <w:trPr>
          <w:tblHeader/>
        </w:trPr>
        <w:tc>
          <w:tcPr>
            <w:tcW w:type="dxa" w:w="18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Window radius</w:t>
            </w:r>
          </w:p>
        </w:tc>
        <w:tc>
          <w:tcPr>
            <w:tcW w:type="dxa" w:w="16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Pixels inside</w:t>
            </w:r>
          </w:p>
        </w:tc>
        <w:tc>
          <w:tcPr>
            <w:tcW w:type="dxa" w:w="56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What it is good for</w:t>
            </w:r>
          </w:p>
        </w:tc>
      </w:tr>
      <w:tr>
        <w:tc>
          <w:tcPr>
            <w:tcW w:type="dxa" w:w="1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40 m</w:t>
            </w:r>
          </w:p>
        </w:tc>
        <w:tc>
          <w:tcPr>
            <w:tcW w:type="dxa" w:w="1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50</w:t>
            </w:r>
          </w:p>
        </w:tc>
        <w:tc>
          <w:tcPr>
            <w:tcW w:type="dxa" w:w="5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Finer pattern — individual beds and narrow strips. The standard deviation is noisier with only 50 pixels, so treat a difference here as indicative rather than decisive.</w:t>
            </w:r>
          </w:p>
        </w:tc>
      </w:tr>
      <w:tr>
        <w:tc>
          <w:tcPr>
            <w:tcW w:type="dxa" w:w="1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70 m — PRIMARY</w:t>
            </w:r>
          </w:p>
        </w:tc>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153</w:t>
            </w:r>
          </w:p>
        </w:tc>
        <w:tc>
          <w:tcPr>
            <w:tcW w:type="dxa" w:w="5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Bed blocks and small fields. Enough pixels for a stable standard deviation, which is why it is the default.</w:t>
            </w:r>
          </w:p>
        </w:tc>
      </w:tr>
      <w:tr>
        <w:tc>
          <w:tcPr>
            <w:tcW w:type="dxa" w:w="1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100 m</w:t>
            </w:r>
          </w:p>
        </w:tc>
        <w:tc>
          <w:tcPr>
            <w:tcW w:type="dxa" w:w="1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314</w:t>
            </w:r>
          </w:p>
        </w:tc>
        <w:tc>
          <w:tcPr>
            <w:tcW w:type="dxa" w:w="5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Whole-field pattern. Quietest of the three, but blind to anything finer than about 50 m.</w:t>
            </w:r>
          </w:p>
        </w:tc>
      </w:tr>
    </w:tbl>
    <w:p>
      <w:pPr>
        <w:spacing w:after="120"/>
      </w:pPr>
    </w:p>
    <w:p>
      <w:pPr>
        <w:pStyle w:val="Heading3"/>
        <w:spacing w:after="110" w:before="220"/>
      </w:pPr>
      <w:r>
        <w:rPr>
          <w:rFonts w:ascii="Calibri" w:cs="Calibri" w:eastAsia="Calibri" w:hAnsi="Calibri"/>
          <w:b/>
          <w:bCs/>
          <w:color w:val="2E5496"/>
          <w:sz w:val="22"/>
          <w:szCs w:val="22"/>
        </w:rPr>
        <w:t xml:space="preserve">How to read the three results</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6620"/>
      </w:tblGrid>
      <w:tr>
        <w:trPr>
          <w:tblHeader/>
        </w:trPr>
        <w:tc>
          <w:tcPr>
            <w:tcW w:type="dxa" w:w="24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Result</w:t>
            </w:r>
          </w:p>
        </w:tc>
        <w:tc>
          <w:tcPr>
            <w:tcW w:type="dxa" w:w="66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What it means</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All three agree</w:t>
            </w:r>
          </w:p>
        </w:tc>
        <w:tc>
          <w:tcPr>
            <w:tcW w:type="dxa" w:w="6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pattern is present across scales and the finding does not rest on the window choice. The strongest and most likely outcome.</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effect is LARGER at 40 m</w:t>
            </w:r>
          </w:p>
        </w:tc>
        <w:tc>
          <w:tcPr>
            <w:tcW w:type="dxa" w:w="6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communities’ pattern is finer than 70 m. Report it — this is direct evidence that the design operates at bed scale rather than field scale, which is a substantive finding about how these communities work their land.</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effect is LARGER at 100 m</w:t>
            </w:r>
          </w:p>
        </w:tc>
        <w:tc>
          <w:tcPr>
            <w:tcW w:type="dxa" w:w="6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pattern is coarser — whole-field mosaics rather than fine intercropping.</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Only 70 m shows an effect</w:t>
            </w:r>
          </w:p>
        </w:tc>
        <w:tc>
          <w:tcPr>
            <w:tcW w:type="dxa" w:w="6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Treat with suspicion. A signal that appears at exactly one scale and vanishes either side is more likely an artefact than a landscape property.</w:t>
            </w:r>
          </w:p>
        </w:tc>
      </w:tr>
    </w:tbl>
    <w:p>
      <w:pPr>
        <w:spacing w:after="120"/>
      </w:pPr>
    </w:p>
    <w:p>
      <w:pPr>
        <w:spacing w:after="120" w:line="276"/>
        <w:jc w:val="both"/>
      </w:pPr>
      <w:r>
        <w:rPr>
          <w:rFonts w:ascii="Calibri" w:cs="Calibri" w:eastAsia="Calibri" w:hAnsi="Calibri"/>
          <w:b/>
          <w:bCs/>
          <w:i w:val="false"/>
          <w:iCs w:val="false"/>
          <w:color w:val="000000"/>
          <w:sz w:val="21"/>
          <w:szCs w:val="21"/>
        </w:rPr>
        <w:t xml:space="preserve">What this costs. </w:t>
      </w:r>
      <w:r>
        <w:rPr>
          <w:rFonts w:ascii="Calibri" w:cs="Calibri" w:eastAsia="Calibri" w:hAnsi="Calibri"/>
          <w:b w:val="false"/>
          <w:bCs w:val="false"/>
          <w:i w:val="false"/>
          <w:iCs w:val="false"/>
          <w:color w:val="000000"/>
          <w:sz w:val="21"/>
          <w:szCs w:val="21"/>
        </w:rPr>
        <w:t xml:space="preserve">No new imagery and no new sites — the same pixels, reduced three ways instead of one. The only real consequence is that the BUFFER must be wide enough for the largest window, so it grows from the polygon plus 70 m to the polygon plus 100 m, and the common-zone buffer from a 220 m circle to a 250 m one (§4.3). Buffer pixels never enter a reported statistic, so nothing else changes.</w:t>
      </w:r>
    </w:p>
    <w:p>
      <w:pPr>
        <w:spacing w:after="140"/>
      </w:pPr>
    </w:p>
    <w:p>
      <w:pPr>
        <w:pStyle w:val="Heading2"/>
        <w:spacing w:after="130" w:before="280"/>
      </w:pPr>
      <w:r>
        <w:rPr>
          <w:rFonts w:ascii="Calibri" w:cs="Calibri" w:eastAsia="Calibri" w:hAnsi="Calibri"/>
          <w:b/>
          <w:bCs/>
          <w:color w:val="2E5496"/>
          <w:sz w:val="25"/>
          <w:szCs w:val="25"/>
        </w:rPr>
        <w:t xml:space="preserve">9.7  Placebo tests — is the machinery finding things that are not there?</w:t>
      </w:r>
    </w:p>
    <w:p>
      <w:pPr>
        <w:spacing w:after="120" w:line="276"/>
        <w:jc w:val="both"/>
      </w:pPr>
      <w:r>
        <w:rPr>
          <w:rFonts w:ascii="Calibri" w:cs="Calibri" w:eastAsia="Calibri" w:hAnsi="Calibri"/>
          <w:b w:val="false"/>
          <w:bCs w:val="false"/>
          <w:i w:val="false"/>
          <w:iCs w:val="false"/>
          <w:color w:val="000000"/>
          <w:sz w:val="21"/>
          <w:szCs w:val="21"/>
        </w:rPr>
        <w:t xml:space="preserve">A placebo test runs the whole analysis where the answer should be nothing. If it returns something, the pipeline is detecting something other than what you think it is.</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800"/>
        <w:gridCol w:w="2600"/>
        <w:gridCol w:w="5620"/>
      </w:tblGrid>
      <w:tr>
        <w:trPr>
          <w:tblHeader/>
        </w:trPr>
        <w:tc>
          <w:tcPr>
            <w:tcW w:type="dxa" w:w="8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ID</w:t>
            </w:r>
          </w:p>
        </w:tc>
        <w:tc>
          <w:tcPr>
            <w:tcW w:type="dxa" w:w="26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Name</w:t>
            </w:r>
          </w:p>
        </w:tc>
        <w:tc>
          <w:tcPr>
            <w:tcW w:type="dxa" w:w="56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Expected result, and what failure means</w:t>
            </w:r>
          </w:p>
        </w:tc>
      </w:tr>
      <w:tr>
        <w:tc>
          <w:tcPr>
            <w:tcW w:type="dxa" w:w="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PL1</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Control-versus-control placebo</w:t>
            </w:r>
          </w:p>
        </w:tc>
        <w:tc>
          <w:tcPr>
            <w:tcW w:type="dxa" w:w="5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Within each quartet, arbitrarily label one control as "treated" and compare it against the other two using the A1 specification. EXPECT NOTHING. If it returns a difference, your pipeline is finding differences between arbitrarily labelled comparable villages, and nothing downstream can be trusted. RUN THIS FIRST, before A1 — it costs one model fit and tells you whether the rest is worth reading.</w:t>
            </w:r>
          </w:p>
        </w:tc>
      </w:tr>
      <w:tr>
        <w:tc>
          <w:tcPr>
            <w:tcW w:type="dxa" w:w="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PL2</w:t>
            </w:r>
          </w:p>
        </w:tc>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Label-permutation test</w:t>
            </w:r>
          </w:p>
        </w:tc>
        <w:tc>
          <w:tcPr>
            <w:tcW w:type="dxa" w:w="5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Randomly permute the settlement and control labels within each quartet, 1,000 times, recomputing β₁ each time. This builds the distribution of the primary statistic under the null. Report your observed value against it. This makes no distributional assumption and respects the quartet structure exactly; where it disagrees with the model-based interval, trust the permutation.</w:t>
            </w:r>
          </w:p>
        </w:tc>
      </w:tr>
      <w:tr>
        <w:tc>
          <w:tcPr>
            <w:tcW w:type="dxa" w:w="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PL3</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Outcome-irrelevant covariate placebo</w:t>
            </w:r>
          </w:p>
        </w:tc>
        <w:tc>
          <w:tcPr>
            <w:tcW w:type="dxa" w:w="5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Re-run the A1 specification with elevation, slope and terrain roughness as the OUTCOMES. EXPECT NOTHING — management does not change elevation. A non-null result indicates residual imbalance that the matching did not remove, and identifies which covariate is responsible.</w:t>
            </w:r>
          </w:p>
        </w:tc>
      </w:tr>
    </w:tbl>
    <w:p>
      <w:pPr>
        <w:spacing w:after="140"/>
      </w:pPr>
    </w:p>
    <w:p>
      <w:pPr>
        <w:pStyle w:val="Heading2"/>
        <w:spacing w:after="130" w:before="280"/>
      </w:pPr>
      <w:r>
        <w:rPr>
          <w:rFonts w:ascii="Calibri" w:cs="Calibri" w:eastAsia="Calibri" w:hAnsi="Calibri"/>
          <w:b/>
          <w:bCs/>
          <w:color w:val="2E5496"/>
          <w:sz w:val="25"/>
          <w:szCs w:val="25"/>
        </w:rPr>
        <w:t xml:space="preserve">9.8  What replaced the old specification curve</w:t>
      </w:r>
    </w:p>
    <w:p>
      <w:pPr>
        <w:spacing w:after="120" w:line="276"/>
        <w:jc w:val="both"/>
      </w:pPr>
      <w:r>
        <w:rPr>
          <w:rFonts w:ascii="Calibri" w:cs="Calibri" w:eastAsia="Calibri" w:hAnsi="Calibri"/>
          <w:b w:val="false"/>
          <w:bCs w:val="false"/>
          <w:i w:val="false"/>
          <w:iCs w:val="false"/>
          <w:color w:val="000000"/>
          <w:sz w:val="21"/>
          <w:szCs w:val="21"/>
        </w:rPr>
        <w:t xml:space="preserve">The previous protocol set ran 3,888 combinations of analytical choices and reported the whole distribution. That is a good instrument for a field where reviewers assume the analysis was tuned. The seventeen checks above test the same decisions — zone size, masking, aggregation, reference percentile, match quality, geography, water subsidy, missingness, cloud screening, mask threshold, soil background, terrain alignment, zone radius, window scale — at the points where those decisions could actually change the answer, and each produces a result you can state in one sentence.</w:t>
      </w:r>
    </w:p>
    <w:p>
      <w:pPr>
        <w:spacing w:after="120" w:line="276"/>
        <w:jc w:val="both"/>
      </w:pPr>
      <w:r>
        <w:rPr>
          <w:rFonts w:ascii="Calibri" w:cs="Calibri" w:eastAsia="Calibri" w:hAnsi="Calibri"/>
          <w:b/>
          <w:bCs/>
          <w:i w:val="false"/>
          <w:iCs w:val="false"/>
          <w:color w:val="000000"/>
          <w:sz w:val="21"/>
          <w:szCs w:val="21"/>
        </w:rPr>
        <w:t xml:space="preserve">One reporting rule that matters more than the number of checks. </w:t>
      </w:r>
      <w:r>
        <w:rPr>
          <w:rFonts w:ascii="Calibri" w:cs="Calibri" w:eastAsia="Calibri" w:hAnsi="Calibri"/>
          <w:b w:val="false"/>
          <w:bCs w:val="false"/>
          <w:i w:val="false"/>
          <w:iCs w:val="false"/>
          <w:color w:val="000000"/>
          <w:sz w:val="21"/>
          <w:szCs w:val="21"/>
        </w:rPr>
        <w:t xml:space="preserve">Report all twenty. A reader who sees ten checks and suspects there were twenty will discount all of them; a reader who sees the complete declared set, including the ones that came out awkwardly, will believe the ones that came out well.</w:t>
      </w:r>
    </w:p>
    <w:p>
      <w:r>
        <w:br w:type="page"/>
      </w:r>
    </w:p>
    <w:p>
      <w:pPr>
        <w:pStyle w:val="Heading1"/>
        <w:pBdr>
          <w:bottom w:val="single" w:color="1F3864" w:sz="12" w:space="6"/>
        </w:pBdr>
        <w:spacing w:after="200" w:before="400"/>
      </w:pPr>
      <w:r>
        <w:rPr>
          <w:rFonts w:ascii="Calibri" w:cs="Calibri" w:eastAsia="Calibri" w:hAnsi="Calibri"/>
          <w:b/>
          <w:bCs/>
          <w:color w:val="1F3864"/>
          <w:sz w:val="32"/>
          <w:szCs w:val="32"/>
        </w:rPr>
        <w:t xml:space="preserve">Part 10  ·  Reporting</w:t>
      </w:r>
    </w:p>
    <w:p>
      <w:pPr>
        <w:pStyle w:val="Heading2"/>
        <w:spacing w:after="130" w:before="280"/>
      </w:pPr>
      <w:r>
        <w:rPr>
          <w:rFonts w:ascii="Calibri" w:cs="Calibri" w:eastAsia="Calibri" w:hAnsi="Calibri"/>
          <w:b/>
          <w:bCs/>
          <w:color w:val="2E5496"/>
          <w:sz w:val="25"/>
          <w:szCs w:val="25"/>
        </w:rPr>
        <w:t xml:space="preserve">10.1  Tables and figures</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800"/>
        <w:gridCol w:w="2600"/>
        <w:gridCol w:w="5620"/>
      </w:tblGrid>
      <w:tr>
        <w:trPr>
          <w:tblHeader/>
        </w:trPr>
        <w:tc>
          <w:tcPr>
            <w:tcW w:type="dxa" w:w="8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ID</w:t>
            </w:r>
          </w:p>
        </w:tc>
        <w:tc>
          <w:tcPr>
            <w:tcW w:type="dxa" w:w="26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Item</w:t>
            </w:r>
          </w:p>
        </w:tc>
        <w:tc>
          <w:tcPr>
            <w:tcW w:type="dxa" w:w="56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Content</w:t>
            </w:r>
          </w:p>
        </w:tc>
      </w:tr>
      <w:tr>
        <w:tc>
          <w:tcPr>
            <w:tcW w:type="dxa" w:w="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T1</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Sample description</w:t>
            </w:r>
          </w:p>
        </w:tc>
        <w:tc>
          <w:tcPr>
            <w:tcW w:type="dxa" w:w="5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212 settlements and 636 controls by climate group, biome, country, onset decade, population band and activity tier.</w:t>
            </w:r>
          </w:p>
        </w:tc>
      </w:tr>
      <w:tr>
        <w:tc>
          <w:tcPr>
            <w:tcW w:type="dxa" w:w="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T2</w:t>
            </w:r>
          </w:p>
        </w:tc>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Balance table</w:t>
            </w:r>
          </w:p>
        </w:tc>
        <w:tc>
          <w:tcPr>
            <w:tcW w:type="dxa" w:w="5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Standardised differences on every matching covariate, settlements against pooled controls, overall and by climate group. PLUS the distribution of control_distance_km, the count of quartets using a control beyond 50 km, and WHERE those quartets are. If they cluster in one region, that region’s estimate rests on looser matching and a reader must be told rather than left to assume uniformity.</w:t>
            </w:r>
          </w:p>
        </w:tc>
      </w:tr>
      <w:tr>
        <w:tc>
          <w:tcPr>
            <w:tcW w:type="dxa" w:w="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T3</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Reference levels</w:t>
            </w:r>
          </w:p>
        </w:tc>
        <w:tc>
          <w:tcPr>
            <w:tcW w:type="dxa" w:w="5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Upper and lower anchors per metric per stratum, with the pooling rung reached and the number of reference sites behind each.</w:t>
            </w:r>
          </w:p>
        </w:tc>
      </w:tr>
      <w:tr>
        <w:tc>
          <w:tcPr>
            <w:tcW w:type="dxa" w:w="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T4</w:t>
            </w:r>
          </w:p>
        </w:tc>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Index validation</w:t>
            </w:r>
          </w:p>
        </w:tc>
        <w:tc>
          <w:tcPr>
            <w:tcW w:type="dxa" w:w="5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40–60 known-answer landscapes with their expected and observed classification, development and hold-out sets shown separately (§6.7).</w:t>
            </w:r>
          </w:p>
        </w:tc>
      </w:tr>
      <w:tr>
        <w:tc>
          <w:tcPr>
            <w:tcW w:type="dxa" w:w="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T5</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Primary results</w:t>
            </w:r>
          </w:p>
        </w:tc>
        <w:tc>
          <w:tcPr>
            <w:tcW w:type="dxa" w:w="5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A1 and A2: estimate, 95% interval (90% for A2), detectable difference, n.</w:t>
            </w:r>
          </w:p>
        </w:tc>
      </w:tr>
      <w:tr>
        <w:tc>
          <w:tcPr>
            <w:tcW w:type="dxa" w:w="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T6</w:t>
            </w:r>
          </w:p>
        </w:tc>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Secondary results</w:t>
            </w:r>
          </w:p>
        </w:tc>
        <w:tc>
          <w:tcPr>
            <w:tcW w:type="dxa" w:w="5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A3 to A9 in the same format, with raw and adjusted p-values.</w:t>
            </w:r>
          </w:p>
        </w:tc>
      </w:tr>
      <w:tr>
        <w:tc>
          <w:tcPr>
            <w:tcW w:type="dxa" w:w="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T7</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Sensitivity and placebo</w:t>
            </w:r>
          </w:p>
        </w:tc>
        <w:tc>
          <w:tcPr>
            <w:tcW w:type="dxa" w:w="5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All seventeen checks and all three placebos, with the primary estimate repeated for comparison.</w:t>
            </w:r>
          </w:p>
        </w:tc>
      </w:tr>
      <w:tr>
        <w:tc>
          <w:tcPr>
            <w:tcW w:type="dxa" w:w="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T8</w:t>
            </w:r>
          </w:p>
        </w:tc>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Data completeness</w:t>
            </w:r>
          </w:p>
        </w:tc>
        <w:tc>
          <w:tcPr>
            <w:tcW w:type="dxa" w:w="5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Missingness by site class, year and metric, with the reason for each gap.</w:t>
            </w:r>
          </w:p>
        </w:tc>
      </w:tr>
      <w:tr>
        <w:tc>
          <w:tcPr>
            <w:tcW w:type="dxa" w:w="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T8b</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DRAWN VERSUS STATED AREA</w:t>
            </w:r>
          </w:p>
        </w:tc>
        <w:tc>
          <w:tcPr>
            <w:tcW w:type="dxa" w:w="5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For every settlement where both exist: the drawn polygon area, the stated managed area, their ratio, and the confidence-tier counts. Nobody has published this comparison for intentional communities, so it is a small methodological contribution as well as a check.</w:t>
            </w:r>
          </w:p>
        </w:tc>
      </w:tr>
      <w:tr>
        <w:tc>
          <w:tcPr>
            <w:tcW w:type="dxa" w:w="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T8c</w:t>
            </w:r>
          </w:p>
        </w:tc>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POLYGON REDRAW RELIABILITY</w:t>
            </w:r>
          </w:p>
        </w:tc>
        <w:tc>
          <w:tcPr>
            <w:tcW w:type="dxa" w:w="5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For the 20 per cent redrawn after four weeks: the overlap between the two drawings (shared area over combined area), its mean, and how many fall below 0.80. NEW IN v3.6. This is the reliability statistic for the study’s primary measurement geometry, and a reader will look for it.</w:t>
            </w:r>
          </w:p>
        </w:tc>
      </w:tr>
      <w:tr>
        <w:tc>
          <w:tcPr>
            <w:tcW w:type="dxa" w:w="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T8a</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POLYGON AREA DISTRIBUTION</w:t>
            </w:r>
          </w:p>
        </w:tc>
        <w:tc>
          <w:tcPr>
            <w:tcW w:type="dxa" w:w="5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spread of drawn polygon areas — median, quartiles, minimum and maximum — with the count assigned to each of the five reference circle sizes, and the median population, onset year and climate group in each. A reader needs this to judge the span of unit sizes the pooled result covers.</w:t>
            </w:r>
          </w:p>
        </w:tc>
      </w:tr>
      <w:tr>
        <w:tc>
          <w:tcPr>
            <w:tcW w:type="dxa" w:w="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T9</w:t>
            </w:r>
          </w:p>
        </w:tc>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Cohort description</w:t>
            </w:r>
          </w:p>
        </w:tc>
        <w:tc>
          <w:tcPr>
            <w:tcW w:type="dxa" w:w="5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~65 longitudinal cohort communities compared against the 212 on climate group, country income group, population, activity tier and onset confidence tier. Shows how far A8 generalises.</w:t>
            </w:r>
          </w:p>
        </w:tc>
      </w:tr>
      <w:tr>
        <w:tc>
          <w:tcPr>
            <w:tcW w:type="dxa" w:w="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T10</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Unmeasured-confounding sensitivity</w:t>
            </w:r>
          </w:p>
        </w:tc>
        <w:tc>
          <w:tcPr>
            <w:tcW w:type="dxa" w:w="5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E-values for the primary estimate and for its confidence bound, beside the observed association strength of each measured covariate.</w:t>
            </w:r>
          </w:p>
        </w:tc>
      </w:tr>
      <w:tr>
        <w:tc>
          <w:tcPr>
            <w:tcW w:type="dxa" w:w="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T11</w:t>
            </w:r>
          </w:p>
        </w:tc>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TYPOLOGY DISTRIBUTION</w:t>
            </w:r>
          </w:p>
        </w:tc>
        <w:tc>
          <w:tcPr>
            <w:tcW w:type="dxa" w:w="5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How many communities fall in each combination of direction × maintenance mode × dominant dimension, settlements against controls. NEW IN VERSION 3.1. This is the table that shows what the movement actually looks like, rather than what it averages to.</w:t>
            </w:r>
          </w:p>
        </w:tc>
      </w:tr>
      <w:tr>
        <w:tc>
          <w:tcPr>
            <w:tcW w:type="dxa" w:w="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T12</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PER-COMMUNITY RESULTS TABLE</w:t>
            </w:r>
          </w:p>
        </w:tc>
        <w:tc>
          <w:tcPr>
            <w:tcW w:type="dxa" w:w="5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One row per community, deposited under anonymous codes. The full specification is in §10.4. NEW IN VERSION 3.1, and it is both a thesis deliverable and the training data for the second study.</w:t>
            </w:r>
          </w:p>
        </w:tc>
      </w:tr>
      <w:tr>
        <w:tc>
          <w:tcPr>
            <w:tcW w:type="dxa" w:w="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F0</w:t>
            </w:r>
          </w:p>
        </w:tc>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CAUSAL DIAGRAM</w:t>
            </w:r>
          </w:p>
        </w:tc>
        <w:tc>
          <w:tcPr>
            <w:tcW w:type="dxa" w:w="5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DAG of §3.9, placed BEFORE the results. Shows which variables are adjusted for, which are deliberately not, and where the unmeasured confounder would sit. One page.</w:t>
            </w:r>
          </w:p>
        </w:tc>
      </w:tr>
      <w:tr>
        <w:tc>
          <w:tcPr>
            <w:tcW w:type="dxa" w:w="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F1</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Global site map</w:t>
            </w:r>
          </w:p>
        </w:tc>
        <w:tc>
          <w:tcPr>
            <w:tcW w:type="dxa" w:w="5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Settlements by climate group. Jitter or omit coordinates for communities that did not consent.</w:t>
            </w:r>
          </w:p>
        </w:tc>
      </w:tr>
      <w:tr>
        <w:tc>
          <w:tcPr>
            <w:tcW w:type="dxa" w:w="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F2</w:t>
            </w:r>
          </w:p>
        </w:tc>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Primary comparison</w:t>
            </w:r>
          </w:p>
        </w:tc>
        <w:tc>
          <w:tcPr>
            <w:tcW w:type="dxa" w:w="5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Distribution of VCI for settlements and controls, paired within quartets.</w:t>
            </w:r>
          </w:p>
        </w:tc>
      </w:tr>
      <w:tr>
        <w:tc>
          <w:tcPr>
            <w:tcW w:type="dxa" w:w="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F2a</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LOVE PLOT</w:t>
            </w:r>
          </w:p>
        </w:tc>
        <w:tc>
          <w:tcPr>
            <w:tcW w:type="dxa" w:w="5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Standardised mean difference for every covariate, before and after matching, on one axis with reference lines at 0.10 and 0.25. The single most persuasive figure in a matched design — a reader sees in two seconds whether the matching worked.</w:t>
            </w:r>
          </w:p>
        </w:tc>
      </w:tr>
      <w:tr>
        <w:tc>
          <w:tcPr>
            <w:tcW w:type="dxa" w:w="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F3</w:t>
            </w:r>
          </w:p>
        </w:tc>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Condition against provisioning</w:t>
            </w:r>
          </w:p>
        </w:tc>
        <w:tc>
          <w:tcPr>
            <w:tcW w:type="dxa" w:w="5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Every site plotted on both axes, settlements and controls distinguished. THIS IS THE TRADE-OFF FIGURE — the visual form of the whole claim, and the one a reader will look at first.</w:t>
            </w:r>
          </w:p>
        </w:tc>
      </w:tr>
      <w:tr>
        <w:tc>
          <w:tcPr>
            <w:tcW w:type="dxa" w:w="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F4</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Dimension breakdown</w:t>
            </w:r>
          </w:p>
        </w:tc>
        <w:tc>
          <w:tcPr>
            <w:tcW w:type="dxa" w:w="5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settlement–control difference on each of the four dimensions separately. Shows which dimensions carry the result.</w:t>
            </w:r>
          </w:p>
        </w:tc>
      </w:tr>
      <w:tr>
        <w:tc>
          <w:tcPr>
            <w:tcW w:type="dxa" w:w="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F5</w:t>
            </w:r>
          </w:p>
        </w:tc>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Radial gradient</w:t>
            </w:r>
          </w:p>
        </w:tc>
        <w:tc>
          <w:tcPr>
            <w:tcW w:type="dxa" w:w="5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Settlement–control difference by ring with confidence intervals. A3 made visible. Label it as covering three dimensions.</w:t>
            </w:r>
          </w:p>
        </w:tc>
      </w:tr>
      <w:tr>
        <w:tc>
          <w:tcPr>
            <w:tcW w:type="dxa" w:w="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F6</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Age gradient</w:t>
            </w:r>
          </w:p>
        </w:tc>
        <w:tc>
          <w:tcPr>
            <w:tcW w:type="dxa" w:w="5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VCI against years since onset, settlements and controls, with the fitted smooth and its band. A4 made visible.</w:t>
            </w:r>
          </w:p>
        </w:tc>
      </w:tr>
      <w:tr>
        <w:tc>
          <w:tcPr>
            <w:tcW w:type="dxa" w:w="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F6a</w:t>
            </w:r>
          </w:p>
        </w:tc>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EVENT STUDY — the cohort</w:t>
            </w:r>
          </w:p>
        </w:tc>
        <w:tc>
          <w:tcPr>
            <w:tcW w:type="dxa" w:w="5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Settlement–control difference in VCI at each of the three pre-onset years and the three post-onset years, with the onset year marked and confidence bands throughout. This one figure carries the entire longitudinal component: a flat line before onset and a rise after it is the study’s strongest single result, and a line already rising before onset is its most damaging.</w:t>
            </w:r>
          </w:p>
        </w:tc>
      </w:tr>
      <w:tr>
        <w:tc>
          <w:tcPr>
            <w:tcW w:type="dxa" w:w="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F7</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Flag prevalence</w:t>
            </w:r>
          </w:p>
        </w:tc>
        <w:tc>
          <w:tcPr>
            <w:tcW w:type="dxa" w:w="5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Proportion of settlements and controls with each flag raised, indeterminate, not raised and unavailable.</w:t>
            </w:r>
          </w:p>
        </w:tc>
      </w:tr>
      <w:tr>
        <w:tc>
          <w:tcPr>
            <w:tcW w:type="dxa" w:w="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F7a</w:t>
            </w:r>
          </w:p>
        </w:tc>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TYPOLOGY DISTRIBUTION</w:t>
            </w:r>
          </w:p>
        </w:tc>
        <w:tc>
          <w:tcPr>
            <w:tcW w:type="dxa" w:w="5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counts of T11 shown graphically — a stacked or mosaic plot of direction by maintenance mode. Makes the heterogeneity between communities visible in one image.</w:t>
            </w:r>
          </w:p>
        </w:tc>
      </w:tr>
      <w:tr>
        <w:tc>
          <w:tcPr>
            <w:tcW w:type="dxa" w:w="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F9</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SIZE GRADIENT AGAINST THE DILUTION NULL</w:t>
            </w:r>
          </w:p>
        </w:tc>
        <w:tc>
          <w:tcPr>
            <w:tcW w:type="dxa" w:w="5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fitted settlement–control difference plotted against managed area on the COMMON 150 m zone, with the dilution curve overlaid and a confidence band on both. NEW IN v3.4, and it carries analysis A9 entirely: a fitted line ON the dilution curve means management quality is size-independent, ABOVE it means larger communities do better per hectare, BELOW it means smaller ones do.</w:t>
            </w:r>
          </w:p>
        </w:tc>
      </w:tr>
      <w:tr>
        <w:tc>
          <w:tcPr>
            <w:tcW w:type="dxa" w:w="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F8a</w:t>
            </w:r>
          </w:p>
        </w:tc>
        <w:tc>
          <w:tcPr>
            <w:tcW w:type="dxa" w:w="2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DROUGHT RESPONSE</w:t>
            </w:r>
          </w:p>
        </w:tc>
        <w:tc>
          <w:tcPr>
            <w:tcW w:type="dxa" w:w="5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Settlement–control difference in VCI in normal years beside the same difference in drought years, split by water-subsidy flag status. SC14 made visible, and the split is what carries it: a widening gap among UNFLAGGED settlements is the management story with irrigation ruled out.</w:t>
            </w:r>
          </w:p>
        </w:tc>
      </w:tr>
      <w:tr>
        <w:tc>
          <w:tcPr>
            <w:tcW w:type="dxa" w:w="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F8</w:t>
            </w:r>
          </w:p>
        </w:tc>
        <w:tc>
          <w:tcPr>
            <w:tcW w:type="dxa" w:w="2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Example site maps</w:t>
            </w:r>
          </w:p>
        </w:tc>
        <w:tc>
          <w:tcPr>
            <w:tcW w:type="dxa" w:w="5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Per-pixel rescaled condition for a few sites on a common colour scale. Choose the site closest to the MEDIAN in each climate group, not the best one — and say in the caption that you did.</w:t>
            </w:r>
          </w:p>
        </w:tc>
      </w:tr>
    </w:tbl>
    <w:p>
      <w:pPr>
        <w:spacing w:after="140"/>
      </w:pPr>
    </w:p>
    <w:p>
      <w:pPr>
        <w:pStyle w:val="Heading2"/>
        <w:spacing w:after="130" w:before="280"/>
      </w:pPr>
      <w:r>
        <w:rPr>
          <w:rFonts w:ascii="Calibri" w:cs="Calibri" w:eastAsia="Calibri" w:hAnsi="Calibri"/>
          <w:b/>
          <w:bCs/>
          <w:color w:val="2E5496"/>
          <w:sz w:val="25"/>
          <w:szCs w:val="25"/>
        </w:rPr>
        <w:t xml:space="preserve">10.2  Language rules</w:t>
      </w:r>
    </w:p>
    <w:p>
      <w:pPr>
        <w:spacing w:after="120" w:line="276"/>
        <w:jc w:val="both"/>
      </w:pPr>
      <w:r>
        <w:rPr>
          <w:rFonts w:ascii="Calibri" w:cs="Calibri" w:eastAsia="Calibri" w:hAnsi="Calibri"/>
          <w:b w:val="false"/>
          <w:bCs w:val="false"/>
          <w:i w:val="false"/>
          <w:iCs w:val="false"/>
          <w:color w:val="000000"/>
          <w:sz w:val="21"/>
          <w:szCs w:val="21"/>
        </w:rPr>
        <w:t xml:space="preserve">Six substitutions. Each replaces a claim the data cannot support with one it can.</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800"/>
        <w:gridCol w:w="2800"/>
        <w:gridCol w:w="3420"/>
      </w:tblGrid>
      <w:tr>
        <w:trPr>
          <w:tblHeader/>
        </w:trPr>
        <w:tc>
          <w:tcPr>
            <w:tcW w:type="dxa" w:w="28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Do not write</w:t>
            </w:r>
          </w:p>
        </w:tc>
        <w:tc>
          <w:tcPr>
            <w:tcW w:type="dxa" w:w="28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Write instead</w:t>
            </w:r>
          </w:p>
        </w:tc>
        <w:tc>
          <w:tcPr>
            <w:tcW w:type="dxa" w:w="34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Why</w:t>
            </w:r>
          </w:p>
        </w:tc>
      </w:tr>
      <w:tr>
        <w:tc>
          <w:tcPr>
            <w:tcW w:type="dxa" w:w="2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ecosystem health</w:t>
            </w:r>
          </w:p>
        </w:tc>
        <w:tc>
          <w:tcPr>
            <w:tcW w:type="dxa" w:w="2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vegetation condition</w:t>
            </w:r>
          </w:p>
        </w:tc>
        <w:tc>
          <w:tcPr>
            <w:tcW w:type="dxa" w:w="3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Soil, water, animals and species are not observed.</w:t>
            </w:r>
          </w:p>
        </w:tc>
      </w:tr>
      <w:tr>
        <w:tc>
          <w:tcPr>
            <w:tcW w:type="dxa" w:w="2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biodiversity</w:t>
            </w:r>
          </w:p>
        </w:tc>
        <w:tc>
          <w:tcPr>
            <w:tcW w:type="dxa" w:w="2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spectral and phenological variety</w:t>
            </w:r>
          </w:p>
        </w:tc>
        <w:tc>
          <w:tcPr>
            <w:tcW w:type="dxa" w:w="3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No species-level measurement exists in this study.</w:t>
            </w:r>
          </w:p>
        </w:tc>
      </w:tr>
      <w:tr>
        <w:tc>
          <w:tcPr>
            <w:tcW w:type="dxa" w:w="2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sustainable / unsustainable</w:t>
            </w:r>
          </w:p>
        </w:tc>
        <w:tc>
          <w:tcPr>
            <w:tcW w:type="dxa" w:w="2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structurally diversifying / input-dependent</w:t>
            </w:r>
          </w:p>
        </w:tc>
        <w:tc>
          <w:tcPr>
            <w:tcW w:type="dxa" w:w="3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No satellite measures sustainability. It is a judgement about persistence, not a measurement.</w:t>
            </w:r>
          </w:p>
        </w:tc>
      </w:tr>
      <w:tr>
        <w:tc>
          <w:tcPr>
            <w:tcW w:type="dxa" w:w="2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caused, led to, effect of</w:t>
            </w:r>
          </w:p>
        </w:tc>
        <w:tc>
          <w:tcPr>
            <w:tcW w:type="dxa" w:w="2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associated with, consistent with</w:t>
            </w:r>
          </w:p>
        </w:tc>
        <w:tc>
          <w:tcPr>
            <w:tcW w:type="dxa" w:w="3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There is no before-and-after observation.</w:t>
            </w:r>
          </w:p>
        </w:tc>
      </w:tr>
      <w:tr>
        <w:tc>
          <w:tcPr>
            <w:tcW w:type="dxa" w:w="2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yield, production, food output</w:t>
            </w:r>
          </w:p>
        </w:tc>
        <w:tc>
          <w:tcPr>
            <w:tcW w:type="dxa" w:w="28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provisioning capacity</w:t>
            </w:r>
          </w:p>
        </w:tc>
        <w:tc>
          <w:tcPr>
            <w:tcW w:type="dxa" w:w="3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Captured photosynthetic potential is not tonnes.</w:t>
            </w:r>
          </w:p>
        </w:tc>
      </w:tr>
      <w:tr>
        <w:tc>
          <w:tcPr>
            <w:tcW w:type="dxa" w:w="2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proves, demonstrates, confirms</w:t>
            </w:r>
          </w:p>
        </w:tc>
        <w:tc>
          <w:tcPr>
            <w:tcW w:type="dxa" w:w="28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is consistent with, supports</w:t>
            </w:r>
          </w:p>
        </w:tc>
        <w:tc>
          <w:tcPr>
            <w:tcW w:type="dxa" w:w="3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One comparative study proves nothing.</w:t>
            </w:r>
          </w:p>
        </w:tc>
      </w:tr>
    </w:tbl>
    <w:p>
      <w:pPr>
        <w:spacing w:after="120"/>
      </w:pPr>
    </w:p>
    <w:p>
      <w:pPr>
        <w:spacing w:after="120" w:line="276"/>
        <w:jc w:val="both"/>
      </w:pPr>
      <w:r>
        <w:rPr>
          <w:rFonts w:ascii="Calibri" w:cs="Calibri" w:eastAsia="Calibri" w:hAnsi="Calibri"/>
          <w:b/>
          <w:bCs/>
          <w:i w:val="false"/>
          <w:iCs w:val="false"/>
          <w:color w:val="000000"/>
          <w:sz w:val="21"/>
          <w:szCs w:val="21"/>
        </w:rPr>
        <w:t xml:space="preserve">The substitution test. </w:t>
      </w:r>
      <w:r>
        <w:rPr>
          <w:rFonts w:ascii="Calibri" w:cs="Calibri" w:eastAsia="Calibri" w:hAnsi="Calibri"/>
          <w:b w:val="false"/>
          <w:bCs w:val="false"/>
          <w:i w:val="false"/>
          <w:iCs w:val="false"/>
          <w:color w:val="000000"/>
          <w:sz w:val="21"/>
          <w:szCs w:val="21"/>
        </w:rPr>
        <w:t xml:space="preserve">Take any sentence you have written containing "sustainable". Replace it with "structurally diversifying". If the sentence becomes false, you were overclaiming and the original was wrong.</w:t>
      </w:r>
    </w:p>
    <w:p>
      <w:pPr>
        <w:pStyle w:val="Heading2"/>
        <w:spacing w:after="130" w:before="280"/>
      </w:pPr>
      <w:r>
        <w:rPr>
          <w:rFonts w:ascii="Calibri" w:cs="Calibri" w:eastAsia="Calibri" w:hAnsi="Calibri"/>
          <w:b/>
          <w:bCs/>
          <w:color w:val="2E5496"/>
          <w:sz w:val="25"/>
          <w:szCs w:val="25"/>
        </w:rPr>
        <w:t xml:space="preserve">10.3  Limitations to state, not to hide</w:t>
      </w:r>
    </w:p>
    <w:p>
      <w:pPr>
        <w:pStyle w:val="ListParagraph"/>
        <w:numPr>
          <w:ilvl w:val="0"/>
          <w:numId w:val="24"/>
        </w:numPr>
        <w:spacing w:after="80" w:line="276"/>
        <w:jc w:val="both"/>
      </w:pPr>
      <w:r>
        <w:rPr>
          <w:rFonts w:ascii="Calibri" w:cs="Calibri" w:eastAsia="Calibri" w:hAnsi="Calibri"/>
          <w:sz w:val="21"/>
          <w:szCs w:val="21"/>
        </w:rPr>
        <w:t xml:space="preserve">The design is comparative, not causal. No pre-intervention observation exists for most communities.</w:t>
      </w:r>
    </w:p>
    <w:p>
      <w:pPr>
        <w:pStyle w:val="ListParagraph"/>
        <w:numPr>
          <w:ilvl w:val="0"/>
          <w:numId w:val="24"/>
        </w:numPr>
        <w:spacing w:after="80" w:line="276"/>
        <w:jc w:val="both"/>
      </w:pPr>
      <w:r>
        <w:rPr>
          <w:rFonts w:ascii="Calibri" w:cs="Calibri" w:eastAsia="Calibri" w:hAnsi="Calibri"/>
          <w:sz w:val="21"/>
          <w:szCs w:val="21"/>
        </w:rPr>
        <w:t xml:space="preserve">The sample is drawn from communities that affiliate, publish and survive. Those doing none of these are absent and cannot be recovered.</w:t>
      </w:r>
    </w:p>
    <w:p>
      <w:pPr>
        <w:pStyle w:val="ListParagraph"/>
        <w:numPr>
          <w:ilvl w:val="0"/>
          <w:numId w:val="24"/>
        </w:numPr>
        <w:spacing w:after="80" w:line="276"/>
        <w:jc w:val="both"/>
      </w:pPr>
      <w:r>
        <w:rPr>
          <w:rFonts w:ascii="Calibri" w:cs="Calibri" w:eastAsia="Calibri" w:hAnsi="Calibri"/>
          <w:sz w:val="21"/>
          <w:szCs w:val="21"/>
        </w:rPr>
        <w:t xml:space="preserve">Geographic coverage is concentrated in Europe and the Americas. The arid climate group has fourteen settlements and supports no claim of its own.</w:t>
      </w:r>
    </w:p>
    <w:p>
      <w:pPr>
        <w:pStyle w:val="ListParagraph"/>
        <w:numPr>
          <w:ilvl w:val="0"/>
          <w:numId w:val="24"/>
        </w:numPr>
        <w:spacing w:after="80" w:line="276"/>
        <w:jc w:val="both"/>
      </w:pPr>
      <w:r>
        <w:rPr>
          <w:rFonts w:ascii="Calibri" w:cs="Calibri" w:eastAsia="Calibri" w:hAnsi="Calibri"/>
          <w:sz w:val="21"/>
          <w:szCs w:val="21"/>
        </w:rPr>
        <w:t xml:space="preserve">Communities managing under about two hectares are underpowered at a 150 m radius. Sensitivity check SC1 addresses them separately.</w:t>
      </w:r>
    </w:p>
    <w:p>
      <w:pPr>
        <w:pStyle w:val="ListParagraph"/>
        <w:numPr>
          <w:ilvl w:val="0"/>
          <w:numId w:val="24"/>
        </w:numPr>
        <w:spacing w:after="80" w:line="276"/>
        <w:jc w:val="both"/>
      </w:pPr>
      <w:r>
        <w:rPr>
          <w:rFonts w:ascii="Calibri" w:cs="Calibri" w:eastAsia="Calibri" w:hAnsi="Calibri"/>
          <w:sz w:val="21"/>
          <w:szCs w:val="21"/>
        </w:rPr>
        <w:t xml:space="preserve">Seven years supports state description well and trend detection weakly.</w:t>
      </w:r>
    </w:p>
    <w:p>
      <w:pPr>
        <w:pStyle w:val="ListParagraph"/>
        <w:numPr>
          <w:ilvl w:val="0"/>
          <w:numId w:val="24"/>
        </w:numPr>
        <w:spacing w:after="80" w:line="276"/>
        <w:jc w:val="both"/>
      </w:pPr>
      <w:r>
        <w:rPr>
          <w:rFonts w:ascii="Calibri" w:cs="Calibri" w:eastAsia="Calibri" w:hAnsi="Calibri"/>
          <w:sz w:val="21"/>
          <w:szCs w:val="21"/>
        </w:rPr>
        <w:t xml:space="preserve">High vegetation vigour is weak evidence of good condition. The two flags mitigate this; they do not remove it.</w:t>
      </w:r>
    </w:p>
    <w:p>
      <w:pPr>
        <w:pStyle w:val="ListParagraph"/>
        <w:numPr>
          <w:ilvl w:val="0"/>
          <w:numId w:val="24"/>
        </w:numPr>
        <w:spacing w:after="80" w:line="276"/>
        <w:jc w:val="both"/>
      </w:pPr>
      <w:r>
        <w:rPr>
          <w:rFonts w:ascii="Calibri" w:cs="Calibri" w:eastAsia="Calibri" w:hAnsi="Calibri"/>
          <w:sz w:val="21"/>
          <w:szCs w:val="21"/>
        </w:rPr>
        <w:t xml:space="preserve">Practice codes measure documentation, not practice. A community managing land beautifully and publishing nothing is coded as doing little.</w:t>
      </w:r>
    </w:p>
    <w:p>
      <w:pPr>
        <w:pStyle w:val="ListParagraph"/>
        <w:numPr>
          <w:ilvl w:val="0"/>
          <w:numId w:val="24"/>
        </w:numPr>
        <w:spacing w:after="80" w:line="276"/>
        <w:jc w:val="both"/>
      </w:pPr>
      <w:r>
        <w:rPr>
          <w:rFonts w:ascii="Calibri" w:cs="Calibri" w:eastAsia="Calibri" w:hAnsi="Calibri"/>
          <w:sz w:val="21"/>
          <w:szCs w:val="21"/>
        </w:rPr>
        <w:t xml:space="preserve">Provisioning capacity does not distinguish subsistence from market production, and does not measure yield.</w:t>
      </w:r>
    </w:p>
    <w:p>
      <w:pPr>
        <w:pStyle w:val="ListParagraph"/>
        <w:numPr>
          <w:ilvl w:val="0"/>
          <w:numId w:val="24"/>
        </w:numPr>
        <w:spacing w:after="80" w:line="276"/>
        <w:jc w:val="both"/>
      </w:pPr>
      <w:r>
        <w:rPr>
          <w:rFonts w:ascii="Calibri" w:cs="Calibri" w:eastAsia="Calibri" w:hAnsi="Calibri"/>
          <w:sz w:val="21"/>
          <w:szCs w:val="21"/>
        </w:rPr>
        <w:t xml:space="preserve">The radial gradient covers three of the four condition dimensions; configuration cannot be resolved at ring scale.</w:t>
      </w:r>
    </w:p>
    <w:p>
      <w:pPr>
        <w:pStyle w:val="ListParagraph"/>
        <w:numPr>
          <w:ilvl w:val="0"/>
          <w:numId w:val="24"/>
        </w:numPr>
        <w:spacing w:after="80" w:line="276"/>
        <w:jc w:val="both"/>
      </w:pPr>
      <w:r>
        <w:rPr>
          <w:rFonts w:ascii="Calibri" w:cs="Calibri" w:eastAsia="Calibri" w:hAnsi="Calibri"/>
          <w:sz w:val="21"/>
          <w:szCs w:val="21"/>
        </w:rPr>
        <w:t xml:space="preserve">VCI is measured over vegetated pixels and PCI over the full zone, so the two primary outcomes sit on slightly different spatial supports.</w:t>
      </w:r>
    </w:p>
    <w:p>
      <w:pPr>
        <w:pStyle w:val="ListParagraph"/>
        <w:numPr>
          <w:ilvl w:val="0"/>
          <w:numId w:val="24"/>
        </w:numPr>
        <w:spacing w:after="80" w:line="276"/>
        <w:jc w:val="both"/>
      </w:pPr>
      <w:r>
        <w:rPr>
          <w:rFonts w:ascii="Calibri" w:cs="Calibri" w:eastAsia="Calibri" w:hAnsi="Calibri"/>
          <w:sz w:val="21"/>
          <w:szCs w:val="21"/>
        </w:rPr>
        <w:t xml:space="preserve">The age relationship is a space-for-time substitution. Older communities differ from younger ones by cohort, size and survivorship as well as by age.</w:t>
      </w:r>
    </w:p>
    <w:p>
      <w:pPr>
        <w:pStyle w:val="ListParagraph"/>
        <w:numPr>
          <w:ilvl w:val="0"/>
          <w:numId w:val="24"/>
        </w:numPr>
        <w:spacing w:after="80" w:line="276"/>
        <w:jc w:val="both"/>
      </w:pPr>
      <w:r>
        <w:rPr>
          <w:rFonts w:ascii="Calibri" w:cs="Calibri" w:eastAsia="Calibri" w:hAnsi="Calibri"/>
          <w:sz w:val="21"/>
          <w:szCs w:val="21"/>
        </w:rPr>
        <w:t xml:space="preserve">The longitudinal cohort is a different population from the 212 — younger, probably smaller, selected on recent onset. Analysis A8 speaks about recently founded communities and does not automatically generalise to the whole sample.</w:t>
      </w:r>
    </w:p>
    <w:p>
      <w:pPr>
        <w:pStyle w:val="ListParagraph"/>
        <w:numPr>
          <w:ilvl w:val="0"/>
          <w:numId w:val="24"/>
        </w:numPr>
        <w:spacing w:after="80" w:line="276"/>
        <w:jc w:val="both"/>
      </w:pPr>
      <w:r>
        <w:rPr>
          <w:rFonts w:ascii="Calibri" w:cs="Calibri" w:eastAsia="Calibri" w:hAnsi="Calibri"/>
          <w:sz w:val="21"/>
          <w:szCs w:val="21"/>
        </w:rPr>
        <w:t xml:space="preserve">The cohort post-period coincides with the COVID pandemic and the rural in-migration that accompanied it. A difference-in-differences removes shocks common to settlements and controls, but not one that affected intentional communities disproportionately.</w:t>
      </w:r>
    </w:p>
    <w:p>
      <w:pPr>
        <w:pStyle w:val="ListParagraph"/>
        <w:numPr>
          <w:ilvl w:val="0"/>
          <w:numId w:val="24"/>
        </w:numPr>
        <w:spacing w:after="80" w:line="276"/>
        <w:jc w:val="both"/>
      </w:pPr>
      <w:r>
        <w:rPr>
          <w:rFonts w:ascii="Calibri" w:cs="Calibri" w:eastAsia="Calibri" w:hAnsi="Calibri"/>
          <w:sz w:val="21"/>
          <w:szCs w:val="21"/>
        </w:rPr>
        <w:t xml:space="preserve">Three years post-onset captures fast-responding practices — cover cropping, mulching, ground cover — and barely captures agroforestry or tree planting. A8 measures early change, not eventual effect.</w:t>
      </w:r>
    </w:p>
    <w:p>
      <w:pPr>
        <w:pStyle w:val="ListParagraph"/>
        <w:numPr>
          <w:ilvl w:val="0"/>
          <w:numId w:val="24"/>
        </w:numPr>
        <w:spacing w:after="80" w:line="276"/>
        <w:jc w:val="both"/>
      </w:pPr>
      <w:r>
        <w:rPr>
          <w:rFonts w:ascii="Calibri" w:cs="Calibri" w:eastAsia="Calibri" w:hAnsi="Calibri"/>
          <w:sz w:val="21"/>
          <w:szCs w:val="21"/>
        </w:rPr>
        <w:t xml:space="preserve">Reference levels are partly built from sites in the same regions as the settlements, so the index is potentially partly endogenous. Sensitivity check SC12 bounds this rather than eliminating it.</w:t>
      </w:r>
    </w:p>
    <w:p>
      <w:pPr>
        <w:pStyle w:val="ListParagraph"/>
        <w:numPr>
          <w:ilvl w:val="0"/>
          <w:numId w:val="24"/>
        </w:numPr>
        <w:spacing w:after="80" w:line="276"/>
        <w:jc w:val="both"/>
      </w:pPr>
      <w:r>
        <w:rPr>
          <w:rFonts w:ascii="Calibri" w:cs="Calibri" w:eastAsia="Calibri" w:hAnsi="Calibri"/>
          <w:sz w:val="21"/>
          <w:szCs w:val="21"/>
        </w:rPr>
        <w:t xml:space="preserve">Per-community estimates are about fifteen times less precise than the pooled result. The typology and the per-community table describe what KIND of place a community is far more reliably than exactly where it ranks, and both are reported with intervals for that reason.</w:t>
      </w:r>
    </w:p>
    <w:p>
      <w:pPr>
        <w:pStyle w:val="ListParagraph"/>
        <w:numPr>
          <w:ilvl w:val="0"/>
          <w:numId w:val="24"/>
        </w:numPr>
        <w:spacing w:after="80" w:line="276"/>
        <w:jc w:val="both"/>
      </w:pPr>
      <w:r>
        <w:rPr>
          <w:rFonts w:ascii="Calibri" w:cs="Calibri" w:eastAsia="Calibri" w:hAnsi="Calibri"/>
          <w:sz w:val="21"/>
          <w:szCs w:val="21"/>
        </w:rPr>
        <w:t xml:space="preserve">The longitudinal cohort observes four post-onset years. Cover cropping, mulching and ground cover respond within that window; agroforestry and tree planting have barely begun. Analysis A8 measures early change, and the long-horizon check at five and six years is on a smaller and differently composed subset.</w:t>
      </w:r>
    </w:p>
    <w:p>
      <w:pPr>
        <w:pStyle w:val="ListParagraph"/>
        <w:numPr>
          <w:ilvl w:val="0"/>
          <w:numId w:val="24"/>
        </w:numPr>
        <w:spacing w:after="80" w:line="276"/>
        <w:jc w:val="both"/>
      </w:pPr>
      <w:r>
        <w:rPr>
          <w:rFonts w:ascii="Calibri" w:cs="Calibri" w:eastAsia="Calibri" w:hAnsi="Calibri"/>
          <w:sz w:val="21"/>
          <w:szCs w:val="21"/>
        </w:rPr>
        <w:t xml:space="preserve">Where three qualifying controls did not exist within 50 km, the search extended to 100 km under the ladder in Stage 2. Those quartets share slightly less weather and sub-national policy with their settlements, so their residual is a little larger — the estimate is noisier there, not biased. Report how many there are and where they cluster; check SC5 restricts to quartets whose controls are all within 50 km.</w:t>
      </w:r>
    </w:p>
    <w:p>
      <w:pPr>
        <w:pStyle w:val="ListParagraph"/>
        <w:numPr>
          <w:ilvl w:val="0"/>
          <w:numId w:val="24"/>
        </w:numPr>
        <w:spacing w:after="80" w:line="276"/>
        <w:jc w:val="both"/>
      </w:pPr>
      <w:r>
        <w:rPr>
          <w:rFonts w:ascii="Calibri" w:cs="Calibri" w:eastAsia="Calibri" w:hAnsi="Calibri"/>
          <w:sz w:val="21"/>
          <w:szCs w:val="21"/>
        </w:rPr>
        <w:t xml:space="preserve">The measurement area is a polygon drawn by hand by the researcher. Boundary accuracy is typically 90 to 95 per cent and 75 per cent at worst. The drawing rule requires structural features rather than colour, a random 20 per cent is redrawn to give an overlap statistic (T8c), and SC1 re-runs everything over circles — but the drawing remains a judgement, and the methods must say so plainly.</w:t>
      </w:r>
    </w:p>
    <w:p>
      <w:pPr>
        <w:pStyle w:val="ListParagraph"/>
        <w:numPr>
          <w:ilvl w:val="0"/>
          <w:numId w:val="24"/>
        </w:numPr>
        <w:spacing w:after="80" w:line="276"/>
        <w:jc w:val="both"/>
      </w:pPr>
      <w:r>
        <w:rPr>
          <w:rFonts w:ascii="Calibri" w:cs="Calibri" w:eastAsia="Calibri" w:hAnsi="Calibri"/>
          <w:sz w:val="21"/>
          <w:szCs w:val="21"/>
        </w:rPr>
        <w:t xml:space="preserve">A drawing bias would NOT cancel between the two arms. The control polygon is the settlement’s shape translated, so it was not drawn with the same unconscious preferences. This is why the structural-drawing rule and SC1 are load-bearing rather than decorative.</w:t>
      </w:r>
    </w:p>
    <w:p>
      <w:pPr>
        <w:pStyle w:val="ListParagraph"/>
        <w:numPr>
          <w:ilvl w:val="0"/>
          <w:numId w:val="24"/>
        </w:numPr>
        <w:spacing w:after="80" w:line="276"/>
        <w:jc w:val="both"/>
      </w:pPr>
      <w:r>
        <w:rPr>
          <w:rFonts w:ascii="Calibri" w:cs="Calibri" w:eastAsia="Calibri" w:hAnsi="Calibri"/>
          <w:sz w:val="21"/>
          <w:szCs w:val="21"/>
        </w:rPr>
        <w:t xml:space="preserve">Control polygons are translated without rotation. Where a settlement’s land follows a valley and its control sits in differently oriented terrain, the translated shape may cut across the grain. The mismatch is random across 636 controls rather than systematic, but it adds noise.</w:t>
      </w:r>
    </w:p>
    <w:p>
      <w:pPr>
        <w:pStyle w:val="ListParagraph"/>
        <w:numPr>
          <w:ilvl w:val="0"/>
          <w:numId w:val="24"/>
        </w:numPr>
        <w:spacing w:after="80" w:line="276"/>
        <w:jc w:val="both"/>
      </w:pPr>
      <w:r>
        <w:rPr>
          <w:rFonts w:ascii="Calibri" w:cs="Calibri" w:eastAsia="Calibri" w:hAnsi="Calibri"/>
          <w:sz w:val="21"/>
          <w:szCs w:val="21"/>
        </w:rPr>
        <w:t xml:space="preserve">Neither the polygon nor the reference-circle assignment is ever derived from Earth Engine data. That is deliberate — inferring the managed extent from land cover would set the measurement zone from the very signal measured inside it — but it means the class cannot be checked against the satellite record, only against the community’s own account.</w:t>
      </w:r>
    </w:p>
    <w:p>
      <w:pPr>
        <w:pStyle w:val="ListParagraph"/>
        <w:numPr>
          <w:ilvl w:val="0"/>
          <w:numId w:val="24"/>
        </w:numPr>
        <w:spacing w:after="80" w:line="276"/>
        <w:jc w:val="both"/>
      </w:pPr>
      <w:r>
        <w:rPr>
          <w:rFonts w:ascii="Calibri" w:cs="Calibri" w:eastAsia="Calibri" w:hAnsi="Calibri"/>
          <w:sz w:val="21"/>
          <w:szCs w:val="21"/>
        </w:rPr>
        <w:t xml:space="preserve">The reference circle is matched to polygon area, which on the documentary corroboration route is self-reported. Sorting into three bins is far more forgiving than setting a continuous radius, and at a class boundary the two radii perform identically by construction — but gross misclassification would still put a community in the wrong zone. Sensitivity check SC1 bounds this by re-running everything at a common 150 m zone.</w:t>
      </w:r>
    </w:p>
    <w:p>
      <w:pPr>
        <w:pStyle w:val="ListParagraph"/>
        <w:numPr>
          <w:ilvl w:val="0"/>
          <w:numId w:val="24"/>
        </w:numPr>
        <w:spacing w:after="80" w:line="276"/>
        <w:jc w:val="both"/>
      </w:pPr>
      <w:r>
        <w:rPr>
          <w:rFonts w:ascii="Calibri" w:cs="Calibri" w:eastAsia="Calibri" w:hAnsi="Calibri"/>
          <w:sz w:val="21"/>
          <w:szCs w:val="21"/>
        </w:rPr>
        <w:t xml:space="preserve">Sites whose managed area could not be coded default to the 150 m medium class and are flagged. Check SC16 excludes them; report how many there are, because a large unknown group weakens the size-matching for the whole sample.</w:t>
      </w:r>
    </w:p>
    <w:p>
      <w:pPr>
        <w:pStyle w:val="ListParagraph"/>
        <w:numPr>
          <w:ilvl w:val="0"/>
          <w:numId w:val="24"/>
        </w:numPr>
        <w:spacing w:after="80" w:line="276"/>
        <w:jc w:val="both"/>
      </w:pPr>
      <w:r>
        <w:rPr>
          <w:rFonts w:ascii="Calibri" w:cs="Calibri" w:eastAsia="Calibri" w:hAnsi="Calibri"/>
          <w:sz w:val="21"/>
          <w:szCs w:val="21"/>
        </w:rPr>
        <w:t xml:space="preserve">Analysis A9 rests on a predictor measured with error, and error in a predictor attenuates a relationship toward flat. A9 therefore UNDERSTATES any true size gradient, so a flat result is weaker evidence of no gradient than it appears.</w:t>
      </w:r>
    </w:p>
    <w:p>
      <w:pPr>
        <w:pStyle w:val="ListParagraph"/>
        <w:numPr>
          <w:ilvl w:val="0"/>
          <w:numId w:val="24"/>
        </w:numPr>
        <w:spacing w:after="80" w:line="276"/>
        <w:jc w:val="both"/>
      </w:pPr>
      <w:r>
        <w:rPr>
          <w:rFonts w:ascii="Calibri" w:cs="Calibri" w:eastAsia="Calibri" w:hAnsi="Calibri"/>
          <w:sz w:val="21"/>
          <w:szCs w:val="21"/>
        </w:rPr>
        <w:t xml:space="preserve">The configuration dimension at small-class sites is measured over 150 m while the other three dimensions use 100 m. Each is measured at the scale where it is meaningful, but VCI at those sites mixes two spatial supports and the methods should say so.</w:t>
      </w:r>
    </w:p>
    <w:p>
      <w:pPr>
        <w:pStyle w:val="ListParagraph"/>
        <w:numPr>
          <w:ilvl w:val="0"/>
          <w:numId w:val="24"/>
        </w:numPr>
        <w:spacing w:after="80" w:line="276"/>
        <w:jc w:val="both"/>
      </w:pPr>
      <w:r>
        <w:rPr>
          <w:rFonts w:ascii="Calibri" w:cs="Calibri" w:eastAsia="Calibri" w:hAnsi="Calibri"/>
          <w:sz w:val="21"/>
          <w:szCs w:val="21"/>
        </w:rPr>
        <w:t xml:space="preserve">The study sees FIELD-SCALE geometry, not ELEMENT-SCALE design. A hedgerow, a swale, a herb spiral and a keyhole bed are all smaller than one pixel. A community can implement permaculture well at the bed scale and be invisible here, so a null result at a small community may mean the design is below the resolution rather than that it did not work.</w:t>
      </w:r>
    </w:p>
    <w:p>
      <w:pPr>
        <w:pStyle w:val="ListParagraph"/>
        <w:numPr>
          <w:ilvl w:val="0"/>
          <w:numId w:val="24"/>
        </w:numPr>
        <w:spacing w:after="80" w:line="276"/>
        <w:jc w:val="both"/>
      </w:pPr>
      <w:r>
        <w:rPr>
          <w:rFonts w:ascii="Calibri" w:cs="Calibri" w:eastAsia="Calibri" w:hAnsi="Calibri"/>
          <w:sz w:val="21"/>
          <w:szCs w:val="21"/>
        </w:rPr>
        <w:t xml:space="preserve">The contour-alignment check SC15 returns null on flat ground, so it covers sloping sites only — and terrain correlates with region. It also detects contour-FOLLOWING rather than swales specifically, which is why the within-settlement PC02 comparison carries more weight than the settlement-versus-control one.</w:t>
      </w:r>
    </w:p>
    <w:p>
      <w:pPr>
        <w:pStyle w:val="ListParagraph"/>
        <w:numPr>
          <w:ilvl w:val="0"/>
          <w:numId w:val="24"/>
        </w:numPr>
        <w:spacing w:after="80" w:line="276"/>
        <w:jc w:val="both"/>
      </w:pPr>
      <w:r>
        <w:rPr>
          <w:rFonts w:ascii="Calibri" w:cs="Calibri" w:eastAsia="Calibri" w:hAnsi="Calibri"/>
          <w:sz w:val="21"/>
          <w:szCs w:val="21"/>
        </w:rPr>
        <w:t xml:space="preserve">The drought-year check SC14 runs only where a genuine drought fell inside the window, and drought incidence follows climate. Its finding applies to the qualifying subsample, which is named and described rather than treated as the whole sample.</w:t>
      </w:r>
    </w:p>
    <w:p>
      <w:pPr>
        <w:pStyle w:val="ListParagraph"/>
        <w:numPr>
          <w:ilvl w:val="0"/>
          <w:numId w:val="24"/>
        </w:numPr>
        <w:spacing w:after="80" w:line="276"/>
        <w:jc w:val="both"/>
      </w:pPr>
      <w:r>
        <w:rPr>
          <w:rFonts w:ascii="Calibri" w:cs="Calibri" w:eastAsia="Calibri" w:hAnsi="Calibri"/>
          <w:sz w:val="21"/>
          <w:szCs w:val="21"/>
        </w:rPr>
        <w:t xml:space="preserve">Drought resistance is partly inherited — soil depth and water-holding capacity are not matched on, though water proximity is. SC14 therefore weakens the site-selection explanation without eliminating it.</w:t>
      </w:r>
    </w:p>
    <w:p>
      <w:pPr>
        <w:pStyle w:val="ListParagraph"/>
        <w:numPr>
          <w:ilvl w:val="0"/>
          <w:numId w:val="24"/>
        </w:numPr>
        <w:spacing w:after="80" w:line="276"/>
        <w:jc w:val="both"/>
      </w:pPr>
      <w:r>
        <w:rPr>
          <w:rFonts w:ascii="Calibri" w:cs="Calibri" w:eastAsia="Calibri" w:hAnsi="Calibri"/>
          <w:sz w:val="21"/>
          <w:szCs w:val="21"/>
        </w:rPr>
        <w:t xml:space="preserve">The red-edge metric VM13 responds to leaf chlorophyll from any nitrogen source, including compost and legumes. It measures how well nourished the vegetation is, not where the nourishment came from, and it is never used to infer synthetic input use.</w:t>
      </w:r>
    </w:p>
    <w:p>
      <w:pPr>
        <w:spacing w:after="60"/>
      </w:pPr>
    </w:p>
    <w:p>
      <w:pPr>
        <w:spacing w:after="120" w:line="276"/>
        <w:jc w:val="both"/>
      </w:pPr>
      <w:r>
        <w:rPr>
          <w:rFonts w:ascii="Calibri" w:cs="Calibri" w:eastAsia="Calibri" w:hAnsi="Calibri"/>
          <w:b/>
          <w:bCs/>
          <w:i w:val="false"/>
          <w:iCs w:val="false"/>
          <w:color w:val="000000"/>
          <w:sz w:val="21"/>
          <w:szCs w:val="21"/>
        </w:rPr>
        <w:t xml:space="preserve">State these in your own words, in the methods and the discussion. </w:t>
      </w:r>
      <w:r>
        <w:rPr>
          <w:rFonts w:ascii="Calibri" w:cs="Calibri" w:eastAsia="Calibri" w:hAnsi="Calibri"/>
          <w:b w:val="false"/>
          <w:bCs w:val="false"/>
          <w:i w:val="false"/>
          <w:iCs w:val="false"/>
          <w:color w:val="000000"/>
          <w:sz w:val="21"/>
          <w:szCs w:val="21"/>
        </w:rPr>
        <w:t xml:space="preserve">A limitation an examiner finds before you name it costs far more than one you volunteer.</w:t>
      </w:r>
    </w:p>
    <w:p>
      <w:pPr>
        <w:pStyle w:val="Heading2"/>
        <w:spacing w:after="130" w:before="280"/>
      </w:pPr>
      <w:r>
        <w:rPr>
          <w:rFonts w:ascii="Calibri" w:cs="Calibri" w:eastAsia="Calibri" w:hAnsi="Calibri"/>
          <w:b/>
          <w:bCs/>
          <w:color w:val="2E5496"/>
          <w:sz w:val="25"/>
          <w:szCs w:val="25"/>
        </w:rPr>
        <w:t xml:space="preserve">10.4  The per-community results table</w:t>
      </w:r>
    </w:p>
    <w:p>
      <w:pPr>
        <w:spacing w:after="120" w:line="276"/>
        <w:jc w:val="both"/>
      </w:pPr>
      <w:r>
        <w:rPr>
          <w:rFonts w:ascii="Calibri" w:cs="Calibri" w:eastAsia="Calibri" w:hAnsi="Calibri"/>
          <w:b w:val="false"/>
          <w:bCs w:val="false"/>
          <w:i w:val="false"/>
          <w:iCs w:val="false"/>
          <w:color w:val="000000"/>
          <w:sz w:val="21"/>
          <w:szCs w:val="21"/>
        </w:rPr>
        <w:t xml:space="preserve">Everything above reports the sample. This section specifies the table that reports each community individually. It exists for three reasons: it is the most useful artefact this study can leave behind, it is what the typology of §6.8 is built from, and the second study of this thesis cannot be trained without it.</w:t>
      </w:r>
    </w:p>
    <w:p>
      <w:pPr>
        <w:spacing w:after="120" w:line="276"/>
        <w:jc w:val="both"/>
      </w:pPr>
      <w:r>
        <w:rPr>
          <w:rFonts w:ascii="Calibri" w:cs="Calibri" w:eastAsia="Calibri" w:hAnsi="Calibri"/>
          <w:b/>
          <w:bCs/>
          <w:i w:val="false"/>
          <w:iCs w:val="false"/>
          <w:color w:val="000000"/>
          <w:sz w:val="21"/>
          <w:szCs w:val="21"/>
        </w:rPr>
        <w:t xml:space="preserve">This is not an optional extra. </w:t>
      </w:r>
      <w:r>
        <w:rPr>
          <w:rFonts w:ascii="Calibri" w:cs="Calibri" w:eastAsia="Calibri" w:hAnsi="Calibri"/>
          <w:b w:val="false"/>
          <w:bCs w:val="false"/>
          <w:i w:val="false"/>
          <w:iCs w:val="false"/>
          <w:color w:val="000000"/>
          <w:sz w:val="21"/>
          <w:szCs w:val="21"/>
        </w:rPr>
        <w:t xml:space="preserve">The machine-learning study that follows takes site context as input and vegetation condition as its target. Those targets are exactly the per-community values below. Without this table there is nothing to train on, so the table is the joint between the two studies rather than an appendix to the first.</w:t>
      </w:r>
    </w:p>
    <w:p>
      <w:pPr>
        <w:pStyle w:val="Heading3"/>
        <w:spacing w:after="110" w:before="220"/>
      </w:pPr>
      <w:r>
        <w:rPr>
          <w:rFonts w:ascii="Calibri" w:cs="Calibri" w:eastAsia="Calibri" w:hAnsi="Calibri"/>
          <w:b/>
          <w:bCs/>
          <w:color w:val="2E5496"/>
          <w:sz w:val="22"/>
          <w:szCs w:val="22"/>
        </w:rPr>
        <w:t xml:space="preserve">What each row carries</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6620"/>
      </w:tblGrid>
      <w:tr>
        <w:trPr>
          <w:tblHeader/>
        </w:trPr>
        <w:tc>
          <w:tcPr>
            <w:tcW w:type="dxa" w:w="24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Group</w:t>
            </w:r>
          </w:p>
        </w:tc>
        <w:tc>
          <w:tcPr>
            <w:tcW w:type="dxa" w:w="66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Fields</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Identity</w:t>
            </w:r>
          </w:p>
        </w:tc>
        <w:tc>
          <w:tcPr>
            <w:tcW w:type="dxa" w:w="6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Anonymous community code; climate group; biome; terrain class; country income group. NOT the name and NOT the coordinates.</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Primary outcomes</w:t>
            </w:r>
          </w:p>
        </w:tc>
        <w:tc>
          <w:tcPr>
            <w:tcW w:type="dxa" w:w="6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VCI and PCI, raw and shrinkage-adjusted, each with a 95% interval.</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Dimension detail</w:t>
            </w:r>
          </w:p>
        </w:tc>
        <w:tc>
          <w:tcPr>
            <w:tcW w:type="dxa" w:w="6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four dimension scores VCI-P, VCI-S, VCI-T, VCI-C, and the management-diagnostic score MDS.</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Composition</w:t>
            </w:r>
          </w:p>
        </w:tc>
        <w:tc>
          <w:tcPr>
            <w:tcW w:type="dxa" w:w="6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five land-cover fractions, and the built fraction.</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Diagnostics</w:t>
            </w:r>
          </w:p>
        </w:tc>
        <w:tc>
          <w:tcPr>
            <w:tcW w:type="dxa" w:w="6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Water-subsidy flag and disturbance flag, each as raised / indeterminate / not raised / unavailable, with the component values behind them.</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TYPOLOGY LABEL</w:t>
            </w:r>
          </w:p>
        </w:tc>
        <w:tc>
          <w:tcPr>
            <w:tcW w:type="dxa" w:w="6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Direction × maintenance mode × dominant dimension (§6.8).</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Context</w:t>
            </w:r>
          </w:p>
        </w:tc>
        <w:tc>
          <w:tcPr>
            <w:tcW w:type="dxa" w:w="6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Onset year with its uncertainty band; onset evidence rank; activity tier; population band; match-quality tier; the thirteen practice codes.</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Data quality</w:t>
            </w:r>
          </w:p>
        </w:tc>
        <w:tc>
          <w:tcPr>
            <w:tcW w:type="dxa" w:w="66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Clear-observation count by year; masked built fraction; number of usable vegetation years; which dimensions if any are missing; whether the site is in the longitudinal cohort.</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Radial profile</w:t>
            </w:r>
          </w:p>
        </w:tc>
        <w:tc>
          <w:tcPr>
            <w:tcW w:type="dxa" w:w="66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VCI at each of the five rings, so the second study has the spatial gradient and not only the site mean.</w:t>
            </w:r>
          </w:p>
        </w:tc>
      </w:tr>
    </w:tbl>
    <w:p>
      <w:pPr>
        <w:spacing w:after="140"/>
      </w:pPr>
    </w:p>
    <w:p>
      <w:pPr>
        <w:pStyle w:val="Heading3"/>
        <w:spacing w:after="110" w:before="220"/>
      </w:pPr>
      <w:r>
        <w:rPr>
          <w:rFonts w:ascii="Calibri" w:cs="Calibri" w:eastAsia="Calibri" w:hAnsi="Calibri"/>
          <w:b/>
          <w:bCs/>
          <w:color w:val="2E5496"/>
          <w:sz w:val="22"/>
          <w:szCs w:val="22"/>
        </w:rPr>
        <w:t xml:space="preserve">Four rules for the table</w:t>
      </w:r>
    </w:p>
    <w:p>
      <w:pPr>
        <w:pStyle w:val="ListParagraph"/>
        <w:numPr>
          <w:ilvl w:val="0"/>
          <w:numId w:val="25"/>
        </w:numPr>
        <w:spacing w:after="80" w:line="276"/>
        <w:jc w:val="both"/>
      </w:pPr>
      <w:r>
        <w:rPr>
          <w:rFonts w:ascii="Calibri" w:cs="Calibri" w:eastAsia="Calibri" w:hAnsi="Calibri"/>
          <w:sz w:val="21"/>
          <w:szCs w:val="21"/>
        </w:rPr>
        <w:t xml:space="preserve">EVERY VALUE CARRIES AN INTERVAL. A per-community point estimate without one will be over-read, by you as much as by anyone else.</w:t>
      </w:r>
    </w:p>
    <w:p>
      <w:pPr>
        <w:pStyle w:val="ListParagraph"/>
        <w:numPr>
          <w:ilvl w:val="0"/>
          <w:numId w:val="25"/>
        </w:numPr>
        <w:spacing w:after="80" w:line="276"/>
        <w:jc w:val="both"/>
      </w:pPr>
      <w:r>
        <w:rPr>
          <w:rFonts w:ascii="Calibri" w:cs="Calibri" w:eastAsia="Calibri" w:hAnsi="Calibri"/>
          <w:sz w:val="21"/>
          <w:szCs w:val="21"/>
        </w:rPr>
        <w:t xml:space="preserve">BOTH raw and shrunk estimates appear. The shrunk values are for use; the raw ones let a reader see how much the model moved each community and why.</w:t>
      </w:r>
    </w:p>
    <w:p>
      <w:pPr>
        <w:pStyle w:val="ListParagraph"/>
        <w:numPr>
          <w:ilvl w:val="0"/>
          <w:numId w:val="25"/>
        </w:numPr>
        <w:spacing w:after="80" w:line="276"/>
        <w:jc w:val="both"/>
      </w:pPr>
      <w:r>
        <w:rPr>
          <w:rFonts w:ascii="Calibri" w:cs="Calibri" w:eastAsia="Calibri" w:hAnsi="Calibri"/>
          <w:sz w:val="21"/>
          <w:szCs w:val="21"/>
        </w:rPr>
        <w:t xml:space="preserve">ANONYMOUS CODES IN ANYTHING PUBLISHED. Keep the code-to-name key yourself. Publishing a table that names and ranks identifiable communities on their ecological performance is the one thing in this plan that carries a genuine ethical cost rather than a statistical one — these communities did not ask to be assessed, and several hold land under informal tenure.</w:t>
      </w:r>
    </w:p>
    <w:p>
      <w:pPr>
        <w:pStyle w:val="ListParagraph"/>
        <w:numPr>
          <w:ilvl w:val="0"/>
          <w:numId w:val="25"/>
        </w:numPr>
        <w:spacing w:after="80" w:line="276"/>
        <w:jc w:val="both"/>
      </w:pPr>
      <w:r>
        <w:rPr>
          <w:rFonts w:ascii="Calibri" w:cs="Calibri" w:eastAsia="Calibri" w:hAnsi="Calibri"/>
          <w:sz w:val="21"/>
          <w:szCs w:val="21"/>
        </w:rPr>
        <w:t xml:space="preserve">THE TABLE IS A DELIVERABLE, NOT A BY-PRODUCT. Version it, freeze it alongside the analysis table, and record its version in the decisions log. The second study will cite it.</w:t>
      </w:r>
    </w:p>
    <w:p>
      <w:pPr>
        <w:spacing w:after="60"/>
      </w:pPr>
    </w:p>
    <w:p>
      <w:pPr>
        <w:spacing w:after="120" w:line="276"/>
        <w:jc w:val="both"/>
      </w:pPr>
      <w:r>
        <w:rPr>
          <w:rFonts w:ascii="Calibri" w:cs="Calibri" w:eastAsia="Calibri" w:hAnsi="Calibri"/>
          <w:b/>
          <w:bCs/>
          <w:i w:val="false"/>
          <w:iCs w:val="false"/>
          <w:color w:val="000000"/>
          <w:sz w:val="21"/>
          <w:szCs w:val="21"/>
        </w:rPr>
        <w:t xml:space="preserve">One honest caveat to state wherever the table appears. </w:t>
      </w:r>
      <w:r>
        <w:rPr>
          <w:rFonts w:ascii="Calibri" w:cs="Calibri" w:eastAsia="Calibri" w:hAnsi="Calibri"/>
          <w:b w:val="false"/>
          <w:bCs w:val="false"/>
          <w:i w:val="false"/>
          <w:iCs w:val="false"/>
          <w:color w:val="000000"/>
          <w:sz w:val="21"/>
          <w:szCs w:val="21"/>
        </w:rPr>
        <w:t xml:space="preserve">A per-community estimate in this study is far less precise than the pooled result — fifteen times less. The table is reliable for describing what KIND of place a community is, and much weaker for saying exactly where it ranks. Say so in the caption, and the table becomes a resource rather than a hostage.</w:t>
      </w:r>
    </w:p>
    <w:p>
      <w:pPr>
        <w:spacing w:after="140"/>
      </w:pPr>
    </w:p>
    <w:p>
      <w:pPr>
        <w:pStyle w:val="Heading2"/>
        <w:spacing w:after="130" w:before="280"/>
      </w:pPr>
      <w:r>
        <w:rPr>
          <w:rFonts w:ascii="Calibri" w:cs="Calibri" w:eastAsia="Calibri" w:hAnsi="Calibri"/>
          <w:b/>
          <w:bCs/>
          <w:color w:val="2E5496"/>
          <w:sz w:val="25"/>
          <w:szCs w:val="25"/>
        </w:rPr>
        <w:t xml:space="preserve">10.5  Disclose the earlier study</w:t>
      </w:r>
    </w:p>
    <w:p>
      <w:pPr>
        <w:spacing w:after="120" w:line="276"/>
        <w:jc w:val="both"/>
      </w:pPr>
      <w:r>
        <w:rPr>
          <w:rFonts w:ascii="Calibri" w:cs="Calibri" w:eastAsia="Calibri" w:hAnsi="Calibri"/>
          <w:b w:val="false"/>
          <w:bCs w:val="false"/>
          <w:i w:val="false"/>
          <w:iCs w:val="false"/>
          <w:color w:val="000000"/>
          <w:sz w:val="21"/>
          <w:szCs w:val="21"/>
        </w:rPr>
        <w:t xml:space="preserve">One paragraph in the methods: an earlier analysis of the same community database using Landsat imagery returned a null result; the present design followed from diagnosing that the earlier measurement radius was several times larger than the interventions being measured. Give the arithmetic — a five-hectare intervention observable as 0.006 NDVI units over a 500 m disk against 0.071 over a 150 m zone.</w:t>
      </w:r>
    </w:p>
    <w:p>
      <w:pPr>
        <w:spacing w:after="120" w:line="276"/>
        <w:jc w:val="both"/>
      </w:pPr>
      <w:r>
        <w:rPr>
          <w:rFonts w:ascii="Calibri" w:cs="Calibri" w:eastAsia="Calibri" w:hAnsi="Calibri"/>
          <w:b w:val="false"/>
          <w:bCs w:val="false"/>
          <w:i w:val="false"/>
          <w:iCs w:val="false"/>
          <w:color w:val="000000"/>
          <w:sz w:val="21"/>
          <w:szCs w:val="21"/>
        </w:rPr>
        <w:t xml:space="preserve">This costs nothing and gains a good deal. It shows the redesign followed from a diagnosable problem rather than from an unwelcome answer, and a reader who discovers the earlier study independently will read your silence far less generously than your disclosure.</w:t>
      </w:r>
    </w:p>
    <w:p>
      <w:r>
        <w:br w:type="page"/>
      </w:r>
    </w:p>
    <w:p>
      <w:pPr>
        <w:pStyle w:val="Heading1"/>
        <w:pBdr>
          <w:bottom w:val="single" w:color="1F3864" w:sz="12" w:space="6"/>
        </w:pBdr>
        <w:spacing w:after="200" w:before="400"/>
      </w:pPr>
      <w:r>
        <w:rPr>
          <w:rFonts w:ascii="Calibri" w:cs="Calibri" w:eastAsia="Calibri" w:hAnsi="Calibri"/>
          <w:b/>
          <w:bCs/>
          <w:color w:val="1F3864"/>
          <w:sz w:val="32"/>
          <w:szCs w:val="32"/>
        </w:rPr>
        <w:t xml:space="preserve">Part 11  ·  Timeline, risks and decisions</w:t>
      </w:r>
    </w:p>
    <w:p>
      <w:pPr>
        <w:pStyle w:val="Heading2"/>
        <w:spacing w:after="130" w:before="280"/>
      </w:pPr>
      <w:r>
        <w:rPr>
          <w:rFonts w:ascii="Calibri" w:cs="Calibri" w:eastAsia="Calibri" w:hAnsi="Calibri"/>
          <w:b/>
          <w:bCs/>
          <w:color w:val="2E5496"/>
          <w:sz w:val="25"/>
          <w:szCs w:val="25"/>
        </w:rPr>
        <w:t xml:space="preserve">11.1  Timeline</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1200"/>
        <w:gridCol w:w="3200"/>
        <w:gridCol w:w="1600"/>
        <w:gridCol w:w="3020"/>
      </w:tblGrid>
      <w:tr>
        <w:trPr>
          <w:tblHeader/>
        </w:trPr>
        <w:tc>
          <w:tcPr>
            <w:tcW w:type="dxa" w:w="12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Stage</w:t>
            </w:r>
          </w:p>
        </w:tc>
        <w:tc>
          <w:tcPr>
            <w:tcW w:type="dxa" w:w="32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What</w:t>
            </w:r>
          </w:p>
        </w:tc>
        <w:tc>
          <w:tcPr>
            <w:tcW w:type="dxa" w:w="16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Time</w:t>
            </w:r>
          </w:p>
        </w:tc>
        <w:tc>
          <w:tcPr>
            <w:tcW w:type="dxa" w:w="30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Can run alongside</w:t>
            </w:r>
          </w:p>
        </w:tc>
      </w:tr>
      <w:tr>
        <w:tc>
          <w:tcPr>
            <w:tcW w:type="dxa" w:w="1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w:t>
            </w:r>
          </w:p>
        </w:tc>
        <w:tc>
          <w:tcPr>
            <w:tcW w:type="dxa" w:w="3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Documentary coding plus polygon drawing, 212 communities</w:t>
            </w:r>
          </w:p>
        </w:tc>
        <w:tc>
          <w:tcPr>
            <w:tcW w:type="dxa" w:w="1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11–15 weeks</w:t>
            </w:r>
          </w:p>
        </w:tc>
        <w:tc>
          <w:tcPr>
            <w:tcW w:type="dxa" w:w="30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Stage 3</w:t>
            </w:r>
          </w:p>
        </w:tc>
      </w:tr>
      <w:tr>
        <w:tc>
          <w:tcPr>
            <w:tcW w:type="dxa" w:w="1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w:t>
            </w:r>
          </w:p>
        </w:tc>
        <w:tc>
          <w:tcPr>
            <w:tcW w:type="dxa" w:w="3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Two further controls per settlement</w:t>
            </w:r>
          </w:p>
        </w:tc>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2–3 weeks</w:t>
            </w:r>
          </w:p>
        </w:tc>
        <w:tc>
          <w:tcPr>
            <w:tcW w:type="dxa" w:w="30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Stage 1 (needs population from it)</w:t>
            </w:r>
          </w:p>
        </w:tc>
      </w:tr>
      <w:tr>
        <w:tc>
          <w:tcPr>
            <w:tcW w:type="dxa" w:w="1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3</w:t>
            </w:r>
          </w:p>
        </w:tc>
        <w:tc>
          <w:tcPr>
            <w:tcW w:type="dxa" w:w="3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Three reference pools, each extracted at three radii</w:t>
            </w:r>
          </w:p>
        </w:tc>
        <w:tc>
          <w:tcPr>
            <w:tcW w:type="dxa" w:w="1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 weeks</w:t>
            </w:r>
          </w:p>
        </w:tc>
        <w:tc>
          <w:tcPr>
            <w:tcW w:type="dxa" w:w="30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Stages 1 and 2</w:t>
            </w:r>
          </w:p>
        </w:tc>
      </w:tr>
      <w:tr>
        <w:tc>
          <w:tcPr>
            <w:tcW w:type="dxa" w:w="1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3b</w:t>
            </w:r>
          </w:p>
        </w:tc>
        <w:tc>
          <w:tcPr>
            <w:tcW w:type="dxa" w:w="3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Longitudinal cohort: enumerate ~65 communities with onset 2020–2021 and match their controls</w:t>
            </w:r>
          </w:p>
        </w:tc>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4–6 weeks</w:t>
            </w:r>
          </w:p>
        </w:tc>
        <w:tc>
          <w:tcPr>
            <w:tcW w:type="dxa" w:w="30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Stage 1 (needs onset years from it)</w:t>
            </w:r>
          </w:p>
        </w:tc>
      </w:tr>
      <w:tr>
        <w:tc>
          <w:tcPr>
            <w:tcW w:type="dxa" w:w="1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4</w:t>
            </w:r>
          </w:p>
        </w:tc>
        <w:tc>
          <w:tcPr>
            <w:tcW w:type="dxa" w:w="3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Earth Engine extraction — three exports</w:t>
            </w:r>
          </w:p>
        </w:tc>
        <w:tc>
          <w:tcPr>
            <w:tcW w:type="dxa" w:w="1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 weeks to write, days to run</w:t>
            </w:r>
          </w:p>
        </w:tc>
        <w:tc>
          <w:tcPr>
            <w:tcW w:type="dxa" w:w="30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t>
            </w:r>
          </w:p>
        </w:tc>
      </w:tr>
      <w:tr>
        <w:tc>
          <w:tcPr>
            <w:tcW w:type="dxa" w:w="1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5</w:t>
            </w:r>
          </w:p>
        </w:tc>
        <w:tc>
          <w:tcPr>
            <w:tcW w:type="dxa" w:w="3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Data preparation</w:t>
            </w:r>
          </w:p>
        </w:tc>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 weeks</w:t>
            </w:r>
          </w:p>
        </w:tc>
        <w:tc>
          <w:tcPr>
            <w:tcW w:type="dxa" w:w="30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t>
            </w:r>
          </w:p>
        </w:tc>
      </w:tr>
      <w:tr>
        <w:tc>
          <w:tcPr>
            <w:tcW w:type="dxa" w:w="1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6</w:t>
            </w:r>
          </w:p>
        </w:tc>
        <w:tc>
          <w:tcPr>
            <w:tcW w:type="dxa" w:w="3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Index and validation</w:t>
            </w:r>
          </w:p>
        </w:tc>
        <w:tc>
          <w:tcPr>
            <w:tcW w:type="dxa" w:w="1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2–3 weeks</w:t>
            </w:r>
          </w:p>
        </w:tc>
        <w:tc>
          <w:tcPr>
            <w:tcW w:type="dxa" w:w="30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t>
            </w:r>
          </w:p>
        </w:tc>
      </w:tr>
      <w:tr>
        <w:tc>
          <w:tcPr>
            <w:tcW w:type="dxa" w:w="1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7</w:t>
            </w:r>
          </w:p>
        </w:tc>
        <w:tc>
          <w:tcPr>
            <w:tcW w:type="dxa" w:w="3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Analysis</w:t>
            </w:r>
          </w:p>
        </w:tc>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3–4 weeks</w:t>
            </w:r>
          </w:p>
        </w:tc>
        <w:tc>
          <w:tcPr>
            <w:tcW w:type="dxa" w:w="30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t>
            </w:r>
          </w:p>
        </w:tc>
      </w:tr>
      <w:tr>
        <w:tc>
          <w:tcPr>
            <w:tcW w:type="dxa" w:w="1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8</w:t>
            </w:r>
          </w:p>
        </w:tc>
        <w:tc>
          <w:tcPr>
            <w:tcW w:type="dxa" w:w="3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Writing</w:t>
            </w:r>
          </w:p>
        </w:tc>
        <w:tc>
          <w:tcPr>
            <w:tcW w:type="dxa" w:w="1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6–8 weeks</w:t>
            </w:r>
          </w:p>
        </w:tc>
        <w:tc>
          <w:tcPr>
            <w:tcW w:type="dxa" w:w="30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From Stage 5 onward</w:t>
            </w:r>
          </w:p>
        </w:tc>
      </w:tr>
      <w:tr>
        <w:tc>
          <w:tcPr>
            <w:tcW w:type="dxa" w:w="1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
            </w:r>
          </w:p>
        </w:tc>
        <w:tc>
          <w:tcPr>
            <w:tcW w:type="dxa" w:w="3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TOTAL</w:t>
            </w:r>
          </w:p>
        </w:tc>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9–12 months</w:t>
            </w:r>
          </w:p>
        </w:tc>
        <w:tc>
          <w:tcPr>
            <w:tcW w:type="dxa" w:w="30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Against 13–17 under the old protocol set. The cohort adds roughly a month of net elapsed time, since much of it runs alongside Stage 1.</w:t>
            </w:r>
          </w:p>
        </w:tc>
      </w:tr>
    </w:tbl>
    <w:p>
      <w:pPr>
        <w:spacing w:after="140"/>
      </w:pPr>
    </w:p>
    <w:p>
      <w:pPr>
        <w:pStyle w:val="Heading2"/>
        <w:spacing w:after="130" w:before="280"/>
      </w:pPr>
      <w:r>
        <w:rPr>
          <w:rFonts w:ascii="Calibri" w:cs="Calibri" w:eastAsia="Calibri" w:hAnsi="Calibri"/>
          <w:b/>
          <w:bCs/>
          <w:color w:val="2E5496"/>
          <w:sz w:val="25"/>
          <w:szCs w:val="25"/>
        </w:rPr>
        <w:t xml:space="preserve">11.2  What can go wrong</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1400"/>
        <w:gridCol w:w="5220"/>
      </w:tblGrid>
      <w:tr>
        <w:trPr>
          <w:tblHeader/>
        </w:trPr>
        <w:tc>
          <w:tcPr>
            <w:tcW w:type="dxa" w:w="24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Risk</w:t>
            </w:r>
          </w:p>
        </w:tc>
        <w:tc>
          <w:tcPr>
            <w:tcW w:type="dxa" w:w="14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Likelihood</w:t>
            </w:r>
          </w:p>
        </w:tc>
        <w:tc>
          <w:tcPr>
            <w:tcW w:type="dxa" w:w="52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What to do</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Documentary coding overruns</w:t>
            </w:r>
          </w:p>
        </w:tc>
        <w:tc>
          <w:tcPr>
            <w:tcW w:type="dxa" w:w="1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HIGH</w:t>
            </w:r>
          </w:p>
        </w:tc>
        <w:tc>
          <w:tcPr>
            <w:tcW w:type="dxa" w:w="52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It is the critical path. Start it first and run Stage 3 alongside. If it overruns badly, code the thirteen practices for a random 120 communities and report A6 on that subsample — the other seven analyses do not need practice codes at all.</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Onset dates prove poor for many communities</w:t>
            </w:r>
          </w:p>
        </w:tc>
        <w:tc>
          <w:tcPr>
            <w:tcW w:type="dxa" w:w="1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MODERATE</w:t>
            </w:r>
          </w:p>
        </w:tc>
        <w:tc>
          <w:tcPr>
            <w:tcW w:type="dxa" w:w="52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Only A4 depends on them. Widen the uncertainty bands honestly, propagate them, and report A4 with the attenuation stated. Everything else is unaffected.</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Tropical sites too cloudy</w:t>
            </w:r>
          </w:p>
        </w:tc>
        <w:tc>
          <w:tcPr>
            <w:tcW w:type="dxa" w:w="1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MODERATE</w:t>
            </w:r>
          </w:p>
        </w:tc>
        <w:tc>
          <w:tcPr>
            <w:tcW w:type="dxa" w:w="52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pilot found a median of 32 clear observations per year in the tropics against 70 in temperate zones. Widen intervals there and report the count by climate group.</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Built fraction differs systematically between arms</w:t>
            </w:r>
          </w:p>
        </w:tc>
        <w:tc>
          <w:tcPr>
            <w:tcW w:type="dxa" w:w="1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MODERATE</w:t>
            </w:r>
          </w:p>
        </w:tc>
        <w:tc>
          <w:tcPr>
            <w:tcW w:type="dxa" w:w="52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main false-positive risk. The covariate handles most of it, SC2 bounds the rest, and PL3 will detect residual imbalance. If the gap is large, report the composition result separately and say so plainly.</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A1 returns null</w:t>
            </w:r>
          </w:p>
        </w:tc>
        <w:tc>
          <w:tcPr>
            <w:tcW w:type="dxa" w:w="1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REAL POSSIBILITY</w:t>
            </w:r>
          </w:p>
        </w:tc>
        <w:tc>
          <w:tcPr>
            <w:tcW w:type="dxa" w:w="52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Publish it. With a detectable difference of 0.22 SD, a passing PL1 and a well-characterised sample, a null is a substantive finding about a movement that claims otherwise — and nobody has established it before.</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index misbehaves on validation landscapes</w:t>
            </w:r>
          </w:p>
        </w:tc>
        <w:tc>
          <w:tcPr>
            <w:tcW w:type="dxa" w:w="1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LOW</w:t>
            </w:r>
          </w:p>
        </w:tc>
        <w:tc>
          <w:tcPr>
            <w:tcW w:type="dxa" w:w="52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Fix it at Stage 6, before touching your settlements. That is precisely why validation comes first.</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join error in Stage 5</w:t>
            </w:r>
          </w:p>
        </w:tc>
        <w:tc>
          <w:tcPr>
            <w:tcW w:type="dxa" w:w="1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MODERATE if unchecked</w:t>
            </w:r>
          </w:p>
        </w:tc>
        <w:tc>
          <w:tcPr>
            <w:tcW w:type="dxa" w:w="52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six integrity checks catch it in minutes. Skipping them is how a study ends up reporting a sample size it does not have.</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cohort does not reach 60 communities with onset 2020–2021</w:t>
            </w:r>
          </w:p>
        </w:tc>
        <w:tc>
          <w:tcPr>
            <w:tcW w:type="dxa" w:w="1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MODERATE</w:t>
            </w:r>
          </w:p>
        </w:tc>
        <w:tc>
          <w:tcPr>
            <w:tcW w:type="dxa" w:w="52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Keep a running tally as Stage 1 coding proceeds. If the core falls short, admit 2019-onset communities to the core and accept a 2-pre / 4-post balanced window — a 1.18× gain rather than 1.34×, still worth having. Decide at community 100 (decision D4), not at the end. Below 40, drop the component — an underpowered longitudinal test beside the main result does more harm than omitting it.</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Managed area is uncoded for many communities</w:t>
            </w:r>
          </w:p>
        </w:tc>
        <w:tc>
          <w:tcPr>
            <w:tcW w:type="dxa" w:w="1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LOW since v3.6</w:t>
            </w:r>
          </w:p>
        </w:tc>
        <w:tc>
          <w:tcPr>
            <w:tcW w:type="dxa" w:w="52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polygon reaches every site, so a community with no published figure still gets its full geometry — at confidence tier B rather than A. Only the documentary CHECK is lost, not the measurement. If more than about a third of the sample is unknown, the size-matching is doing little and you should say so plainly — report SC1 as the primary result instead, and A9 as exploratory.</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Too few qualifying controls within 50 km</w:t>
            </w:r>
          </w:p>
        </w:tc>
        <w:tc>
          <w:tcPr>
            <w:tcW w:type="dxa" w:w="1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MODERATE</w:t>
            </w:r>
          </w:p>
        </w:tc>
        <w:tc>
          <w:tcPr>
            <w:tcW w:type="dxa" w:w="52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Expected in sparsely settled country. Work down the distance ladder in Stage 2 rather than relaxing a covariate tolerance — the covariates are what actually drive vegetation condition, and distance only proxies for them. The cost is about 0.3 per cent on the study detectable difference even if a fifth of quartets need it.</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Polygon drawing takes longer than expected</w:t>
            </w:r>
          </w:p>
        </w:tc>
        <w:tc>
          <w:tcPr>
            <w:tcW w:type="dxa" w:w="1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MODERATE</w:t>
            </w:r>
          </w:p>
        </w:tc>
        <w:tc>
          <w:tcPr>
            <w:tcW w:type="dxa" w:w="52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Budget 60 to 90 hours for 212 settlements at ten to twenty minutes each, plus the 20 per cent redraw. It runs inside Stage 1, so it extends the critical path. If it overruns, draw the cohort settlements first — analysis A8 depends on them and it is the study’s strongest single component.</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Polygon redraw overlap comes out low</w:t>
            </w:r>
          </w:p>
        </w:tc>
        <w:tc>
          <w:tcPr>
            <w:tcW w:type="dxa" w:w="1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MODERATE</w:t>
            </w:r>
          </w:p>
        </w:tc>
        <w:tc>
          <w:tcPr>
            <w:tcW w:type="dxa" w:w="52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If the mean overlap in T8c falls below about 0.80, your drawing is not repeatable enough to carry the primary specification. Report SC1 — the circle version — as primary instead, and the polygon version as a secondary. Better to find this at the redraw than in review.</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Polygon area correlates strongly with region or age</w:t>
            </w:r>
          </w:p>
        </w:tc>
        <w:tc>
          <w:tcPr>
            <w:tcW w:type="dxa" w:w="1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MODERATE</w:t>
            </w:r>
          </w:p>
        </w:tc>
        <w:tc>
          <w:tcPr>
            <w:tcW w:type="dxa" w:w="52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Likely, and not fatal. Include the age smooth in A9 and report T8a so a reader can see what else differs between classes. What would be fatal is reporting a size effect that is actually an age effect, so run A4 and A9 in the same model.</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Too few sites qualify for SC15</w:t>
            </w:r>
          </w:p>
        </w:tc>
        <w:tc>
          <w:tcPr>
            <w:tcW w:type="dxa" w:w="1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MODERATE</w:t>
            </w:r>
          </w:p>
        </w:tc>
        <w:tc>
          <w:tcPr>
            <w:tcW w:type="dxa" w:w="52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Contour alignment is null on flat ground. If most of your sample is on plains, report SC15 descriptively on whatever qualifies and do not draw an inference. Costs nothing either way — terrain data is already extracted.</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Too few sites qualify for SC14</w:t>
            </w:r>
          </w:p>
        </w:tc>
        <w:tc>
          <w:tcPr>
            <w:tcW w:type="dxa" w:w="1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MODERATE</w:t>
            </w:r>
          </w:p>
        </w:tc>
        <w:tc>
          <w:tcPr>
            <w:tcW w:type="dxa" w:w="52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Drought incidence follows climate, and a humid maritime run of seven wet years disqualifies a site entirely. If fewer than about 60 sites qualify, report SC14 descriptively and do not draw an inference from it. The check costs nothing either way — the rainfall data is already extracted.</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Water-proximity matching pushes quartets into lower tiers</w:t>
            </w:r>
          </w:p>
        </w:tc>
        <w:tc>
          <w:tcPr>
            <w:tcW w:type="dxa" w:w="1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LOW</w:t>
            </w:r>
          </w:p>
        </w:tc>
        <w:tc>
          <w:tcPr>
            <w:tcW w:type="dxa" w:w="52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Expected and accepted. A few more quartets will land in Tier 2 or Tier 3, which SC5 already tests for. The trade is deliberate: water access is the main confounder of drought resistance, and holding it constant is worth a small loss in match tier.</w:t>
            </w:r>
          </w:p>
        </w:tc>
      </w:tr>
      <w:tr>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cohort shows PRE-ONSET divergence</w:t>
            </w:r>
          </w:p>
        </w:tc>
        <w:tc>
          <w:tcPr>
            <w:tcW w:type="dxa" w:w="1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REAL POSSIBILITY</w:t>
            </w:r>
          </w:p>
        </w:tc>
        <w:tc>
          <w:tcPr>
            <w:tcW w:type="dxa" w:w="52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This is the study working, not failing. Report it prominently: it means the cross-sectional difference cannot be attributed to management for this cohort, and it is far better to find that yourself than to have a reviewer point at the absence of any such test.</w:t>
            </w:r>
          </w:p>
        </w:tc>
      </w:tr>
      <w:tr>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COVID confounds the cohort post-period</w:t>
            </w:r>
          </w:p>
        </w:tc>
        <w:tc>
          <w:tcPr>
            <w:tcW w:type="dxa" w:w="1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MODERATE</w:t>
            </w:r>
          </w:p>
        </w:tc>
        <w:tc>
          <w:tcPr>
            <w:tcW w:type="dxa" w:w="52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Unavoidable, since onset 2020–2021 falls in the pandemic. DiD removes shocks common to both arms but not a shock that hit intentional communities disproportionately. Check whether the estimate differs between 2020-onset and 2021-onset communities, and state the limitation either way. Note that a 2019-onset cohort would be WORSE on this count, not better, because the pandemic would fall entirely inside its post-period.</w:t>
            </w:r>
          </w:p>
        </w:tc>
      </w:tr>
    </w:tbl>
    <w:p>
      <w:pPr>
        <w:spacing w:after="140"/>
      </w:pPr>
    </w:p>
    <w:p>
      <w:pPr>
        <w:pStyle w:val="Heading2"/>
        <w:spacing w:after="130" w:before="280"/>
      </w:pPr>
      <w:r>
        <w:rPr>
          <w:rFonts w:ascii="Calibri" w:cs="Calibri" w:eastAsia="Calibri" w:hAnsi="Calibri"/>
          <w:b/>
          <w:bCs/>
          <w:color w:val="2E5496"/>
          <w:sz w:val="25"/>
          <w:szCs w:val="25"/>
        </w:rPr>
        <w:t xml:space="preserve">11.3  Three decisions you will have to make</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700"/>
        <w:gridCol w:w="2400"/>
        <w:gridCol w:w="1600"/>
        <w:gridCol w:w="4320"/>
      </w:tblGrid>
      <w:tr>
        <w:trPr>
          <w:tblHeader/>
        </w:trPr>
        <w:tc>
          <w:tcPr>
            <w:tcW w:type="dxa" w:w="7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
            </w:r>
          </w:p>
        </w:tc>
        <w:tc>
          <w:tcPr>
            <w:tcW w:type="dxa" w:w="24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Decision</w:t>
            </w:r>
          </w:p>
        </w:tc>
        <w:tc>
          <w:tcPr>
            <w:tcW w:type="dxa" w:w="16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When</w:t>
            </w:r>
          </w:p>
        </w:tc>
        <w:tc>
          <w:tcPr>
            <w:tcW w:type="dxa" w:w="43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How to decide</w:t>
            </w:r>
          </w:p>
        </w:tc>
      </w:tr>
      <w:tr>
        <w:tc>
          <w:tcPr>
            <w:tcW w:type="dxa" w:w="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D1</w:t>
            </w:r>
          </w:p>
        </w:tc>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Contact communities, or code from published sources only?</w:t>
            </w:r>
          </w:p>
        </w:tc>
        <w:tc>
          <w:tcPr>
            <w:tcW w:type="dxa" w:w="1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Before Stage 1</w:t>
            </w:r>
          </w:p>
        </w:tc>
        <w:tc>
          <w:tcPr>
            <w:tcW w:type="dxa" w:w="43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Contacting improves onset dates and managed-area figures but requires ethics clearance and adds weeks. RECOMMENDED: code from published sources, then contact only the communities whose onset remains genuinely undeterminable. That is usually a small number, and it keeps the ethics application narrow.</w:t>
            </w:r>
          </w:p>
        </w:tc>
      </w:tr>
      <w:tr>
        <w:tc>
          <w:tcPr>
            <w:tcW w:type="dxa" w:w="7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D2</w:t>
            </w:r>
          </w:p>
        </w:tc>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Keep managed area as a variable?</w:t>
            </w:r>
          </w:p>
        </w:tc>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During Stage 1</w:t>
            </w:r>
          </w:p>
        </w:tc>
        <w:tc>
          <w:tcPr>
            <w:tcW w:type="dxa" w:w="43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It no longer sets the radius, so it is now descriptive. Keep it — it costs little, supports SC1 and gives a useful descriptive table — but do not spend reliability effort on it.</w:t>
            </w:r>
          </w:p>
        </w:tc>
      </w:tr>
      <w:tr>
        <w:tc>
          <w:tcPr>
            <w:tcW w:type="dxa" w:w="7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D4</w:t>
            </w:r>
          </w:p>
        </w:tc>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Proceed with the longitudinal cohort, or drop it?</w:t>
            </w:r>
          </w:p>
        </w:tc>
        <w:tc>
          <w:tcPr>
            <w:tcW w:type="dxa" w:w="1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At community 100 of Stage 1 coding</w:t>
            </w:r>
          </w:p>
        </w:tc>
        <w:tc>
          <w:tcPr>
            <w:tcW w:type="dxa" w:w="43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Count the communities with onset 2020 or 2021 and confidence tier A or B. If the count is short, 2019-onset communities may be admitted at a modest cost in precision. Above 50, proceed — the component is well worth its four to six weeks. Between 40 and 50, proceed but report it as exploratory. BELOW 40, DROP IT. An underpowered before-and-after test placed beside your main result invites a reviewer to read a null as contradicting it, which it would not, but the misreading costs more than the component gains.</w:t>
            </w:r>
          </w:p>
        </w:tc>
      </w:tr>
      <w:tr>
        <w:tc>
          <w:tcPr>
            <w:tcW w:type="dxa" w:w="7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D3</w:t>
            </w:r>
          </w:p>
        </w:tc>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Which journal?</w:t>
            </w:r>
          </w:p>
        </w:tc>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After Stage 7</w:t>
            </w:r>
          </w:p>
        </w:tc>
        <w:tc>
          <w:tcPr>
            <w:tcW w:type="dxa" w:w="43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If A1 and A2 both hold, aim at a leading sustainability or global-change journal and lead with the trade-off finding. If A1 is null, aim at a remote-sensing or methods journal and lead with the measurement framework, which is a genuine contribution either way.</w:t>
            </w:r>
          </w:p>
        </w:tc>
      </w:tr>
    </w:tbl>
    <w:p>
      <w:pPr>
        <w:spacing w:after="140"/>
      </w:pPr>
    </w:p>
    <w:p>
      <w:pPr>
        <w:pStyle w:val="Heading2"/>
        <w:spacing w:after="130" w:before="280"/>
      </w:pPr>
      <w:r>
        <w:rPr>
          <w:rFonts w:ascii="Calibri" w:cs="Calibri" w:eastAsia="Calibri" w:hAnsi="Calibri"/>
          <w:b/>
          <w:bCs/>
          <w:color w:val="2E5496"/>
          <w:sz w:val="25"/>
          <w:szCs w:val="25"/>
        </w:rPr>
        <w:t xml:space="preserve">11.4  Survivorship — a limitation with a cheap partial remedy</w:t>
      </w:r>
    </w:p>
    <w:p>
      <w:pPr>
        <w:spacing w:after="120" w:line="276"/>
        <w:jc w:val="both"/>
      </w:pPr>
      <w:r>
        <w:rPr>
          <w:rFonts w:ascii="Calibri" w:cs="Calibri" w:eastAsia="Calibri" w:hAnsi="Calibri"/>
          <w:b w:val="false"/>
          <w:bCs w:val="false"/>
          <w:i w:val="false"/>
          <w:iCs w:val="false"/>
          <w:color w:val="000000"/>
          <w:sz w:val="21"/>
          <w:szCs w:val="21"/>
        </w:rPr>
        <w:t xml:space="preserve">Directories list communities that currently exist. A community that failed, dissolved or reverted to conventional ownership is removed from the listing and never enters the sample — and those are precisely the communities whose ecological outcome was least favourable. A sample drawn from current directories is a sample of survivors, and it is biased in the direction of the study’s own hypothesis.</w:t>
      </w:r>
    </w:p>
    <w:p>
      <w:pPr>
        <w:spacing w:after="120" w:line="276"/>
        <w:jc w:val="both"/>
      </w:pPr>
      <w:r>
        <w:rPr>
          <w:rFonts w:ascii="Calibri" w:cs="Calibri" w:eastAsia="Calibri" w:hAnsi="Calibri"/>
          <w:b/>
          <w:bCs/>
          <w:i w:val="false"/>
          <w:iCs w:val="false"/>
          <w:color w:val="000000"/>
          <w:sz w:val="21"/>
          <w:szCs w:val="21"/>
        </w:rPr>
        <w:t xml:space="preserve">The cheap partial remedy, if you have a week to spare. </w:t>
      </w:r>
      <w:r>
        <w:rPr>
          <w:rFonts w:ascii="Calibri" w:cs="Calibri" w:eastAsia="Calibri" w:hAnsi="Calibri"/>
          <w:b w:val="false"/>
          <w:bCs w:val="false"/>
          <w:i w:val="false"/>
          <w:iCs w:val="false"/>
          <w:color w:val="000000"/>
          <w:sz w:val="21"/>
          <w:szCs w:val="21"/>
        </w:rPr>
        <w:t xml:space="preserve">Retrieve archived snapshots of the main directories at roughly annual intervals, extract the community listings, and identify communities present earlier and absent now. Locate what you can. Analyse them separately and report the comparison. Even a partial recovery gives the first empirical estimate of attrition in this population, which nobody has, and it converts an unbounded worry into a measured quantity.</w:t>
      </w:r>
    </w:p>
    <w:p>
      <w:pPr>
        <w:spacing w:after="120" w:line="276"/>
        <w:jc w:val="both"/>
      </w:pPr>
      <w:r>
        <w:rPr>
          <w:rFonts w:ascii="Calibri" w:cs="Calibri" w:eastAsia="Calibri" w:hAnsi="Calibri"/>
          <w:b w:val="false"/>
          <w:bCs w:val="false"/>
          <w:i w:val="false"/>
          <w:iCs w:val="false"/>
          <w:color w:val="000000"/>
          <w:sz w:val="21"/>
          <w:szCs w:val="21"/>
        </w:rPr>
        <w:t xml:space="preserve">If you do not have the week, state the limitation plainly in the thesis and note the direction of the likely bias. That is honest and costs nothing. What is not acceptable is leaving it unmentioned.</w:t>
      </w:r>
    </w:p>
    <w:p>
      <w:pPr>
        <w:pStyle w:val="Heading2"/>
        <w:spacing w:after="130" w:before="280"/>
      </w:pPr>
      <w:r>
        <w:rPr>
          <w:rFonts w:ascii="Calibri" w:cs="Calibri" w:eastAsia="Calibri" w:hAnsi="Calibri"/>
          <w:b/>
          <w:bCs/>
          <w:color w:val="2E5496"/>
          <w:sz w:val="25"/>
          <w:szCs w:val="25"/>
        </w:rPr>
        <w:t xml:space="preserve">11.5  The shortest possible summary</w:t>
      </w:r>
    </w:p>
    <w:tbl>
      <w:tblPr>
        <w:tblW w:type="dxa" w:w="9020"/>
        <w:tblBorders>
          <w:top w:val="none" w:color="FFFFFF" w:sz="0"/>
          <w:left w:val="single" w:color="2E5496" w:sz="18"/>
          <w:bottom w:val="none" w:color="FFFFFF" w:sz="0"/>
          <w:right w:val="none" w:color="FFFFFF" w:sz="0"/>
          <w:insideH w:val="none" w:color="FFFFFF" w:sz="0"/>
          <w:insideV w:val="none" w:color="FFFFFF" w:sz="0"/>
        </w:tblBorders>
      </w:tblPr>
      <w:tblGrid>
        <w:gridCol w:w="9020"/>
      </w:tblGrid>
      <w:tr>
        <w:tc>
          <w:tcPr>
            <w:tcW w:type="dxa" w:w="9020"/>
            <w:shd w:fill="EAF1FB" w:color="auto" w:val="clear"/>
            <w:tcMar>
              <w:top w:type="dxa" w:w="150"/>
              <w:left w:type="dxa" w:w="180"/>
              <w:bottom w:type="dxa" w:w="150"/>
              <w:right w:type="dxa" w:w="180"/>
            </w:tcMar>
          </w:tcPr>
          <w:p>
            <w:pPr>
              <w:spacing w:after="90"/>
            </w:pPr>
            <w:r>
              <w:rPr>
                <w:rFonts w:ascii="Calibri" w:cs="Calibri" w:eastAsia="Calibri" w:hAnsi="Calibri"/>
                <w:b/>
                <w:bCs/>
                <w:color w:val="2E5496"/>
                <w:sz w:val="21"/>
                <w:szCs w:val="21"/>
              </w:rPr>
              <w:t xml:space="preserve">If you remember only this</w:t>
            </w:r>
          </w:p>
          <w:p>
            <w:pPr>
              <w:spacing w:after="90" w:line="276"/>
              <w:jc w:val="both"/>
            </w:pPr>
            <w:r>
              <w:rPr>
                <w:rFonts w:ascii="Calibri" w:cs="Calibri" w:eastAsia="Calibri" w:hAnsi="Calibri"/>
                <w:sz w:val="20"/>
                <w:szCs w:val="20"/>
              </w:rPr>
              <w:t xml:space="preserve">Measure over the DRAWN OUTLINE of each community’s land, not a circle. A circle over a valley strip captures 42 per cent of it; the polygon captures all of it. Shrinking the measurement area is what moved this study from impossible to comfortable, and drawing it is what finishes the job.</w:t>
            </w:r>
          </w:p>
          <w:p>
            <w:pPr>
              <w:spacing w:after="90" w:line="276"/>
              <w:jc w:val="both"/>
            </w:pPr>
            <w:r>
              <w:rPr>
                <w:rFonts w:ascii="Calibri" w:cs="Calibri" w:eastAsia="Calibri" w:hAnsi="Calibri"/>
                <w:sz w:val="20"/>
                <w:szCs w:val="20"/>
              </w:rPr>
              <w:t xml:space="preserve">Give every control its settlement’s polygon, moved onto it. Same size, same shape, no rotation. Otherwise you are comparing carefully chosen land against whatever happens to be there.</w:t>
            </w:r>
          </w:p>
          <w:p>
            <w:pPr>
              <w:spacing w:after="90" w:line="276"/>
              <w:jc w:val="both"/>
            </w:pPr>
            <w:r>
              <w:rPr>
                <w:rFonts w:ascii="Calibri" w:cs="Calibri" w:eastAsia="Calibri" w:hAnsi="Calibri"/>
                <w:sz w:val="20"/>
                <w:szCs w:val="20"/>
              </w:rPr>
              <w:t xml:space="preserve">Draw from STRUCTURE, never from colour. A drawing bias does not cancel between the arms, so this one rule carries more weight than any other manual instruction in the plan.</w:t>
            </w:r>
          </w:p>
          <w:p>
            <w:pPr>
              <w:spacing w:after="90" w:line="276"/>
              <w:jc w:val="both"/>
            </w:pPr>
            <w:r>
              <w:rPr>
                <w:rFonts w:ascii="Calibri" w:cs="Calibri" w:eastAsia="Calibri" w:hAnsi="Calibri"/>
                <w:sz w:val="20"/>
                <w:szCs w:val="20"/>
              </w:rPr>
              <w:t xml:space="preserve">Compute reference levels at all FIVE radii, and match each site to the closest in AREA. Rescaling a 2-hectare polygon against a 7-hectare reference distribution biases it, and nothing downstream would reveal the error.</w:t>
            </w:r>
          </w:p>
          <w:p>
            <w:pPr>
              <w:spacing w:after="90" w:line="276"/>
              <w:jc w:val="both"/>
            </w:pPr>
            <w:r>
              <w:rPr>
                <w:rFonts w:ascii="Calibri" w:cs="Calibri" w:eastAsia="Calibri" w:hAnsi="Calibri"/>
                <w:sz w:val="20"/>
                <w:szCs w:val="20"/>
              </w:rPr>
              <w:t xml:space="preserve">Scale every measurement against what is attainable in that climate and biome — otherwise a global comparison measures climate.</w:t>
            </w:r>
          </w:p>
          <w:p>
            <w:pPr>
              <w:spacing w:after="90" w:line="276"/>
              <w:jc w:val="both"/>
            </w:pPr>
            <w:r>
              <w:rPr>
                <w:rFonts w:ascii="Calibri" w:cs="Calibri" w:eastAsia="Calibri" w:hAnsi="Calibri"/>
                <w:sz w:val="20"/>
                <w:szCs w:val="20"/>
              </w:rPr>
              <w:t xml:space="preserve">Use THREE reference pools, not one. Natural land anchors the top of condition and the bottom of provisioning; productive farmland anchors the top of provisioning; semi-urban land anchors the bottom of condition. Hold a third of the semi-urban pool back for H7.</w:t>
            </w:r>
          </w:p>
          <w:p>
            <w:pPr>
              <w:spacing w:after="90" w:line="276"/>
              <w:jc w:val="both"/>
            </w:pPr>
            <w:r>
              <w:rPr>
                <w:rFonts w:ascii="Calibri" w:cs="Calibri" w:eastAsia="Calibri" w:hAnsi="Calibri"/>
                <w:sz w:val="20"/>
                <w:szCs w:val="20"/>
              </w:rPr>
              <w:t xml:space="preserve">Compare each settlement against its own three matched neighbours, with quartet fixed effects. That cancels region, climate and landscape out of the comparison.</w:t>
            </w:r>
          </w:p>
          <w:p>
            <w:pPr>
              <w:spacing w:after="90" w:line="276"/>
              <w:jc w:val="both"/>
            </w:pPr>
            <w:r>
              <w:rPr>
                <w:rFonts w:ascii="Calibri" w:cs="Calibri" w:eastAsia="Calibri" w:hAnsi="Calibri"/>
                <w:sz w:val="20"/>
                <w:szCs w:val="20"/>
              </w:rPr>
              <w:t xml:space="preserve">Adjust for built-up fraction. It is the largest route to a difference that means nothing.</w:t>
            </w:r>
          </w:p>
          <w:p>
            <w:pPr>
              <w:spacing w:after="90" w:line="276"/>
              <w:jc w:val="both"/>
            </w:pPr>
            <w:r>
              <w:rPr>
                <w:rFonts w:ascii="Calibri" w:cs="Calibri" w:eastAsia="Calibri" w:hAnsi="Calibri"/>
                <w:sz w:val="20"/>
                <w:szCs w:val="20"/>
              </w:rPr>
              <w:t xml:space="preserve">Report both outcomes — condition AND provisioning — and test provisioning as an equivalence, not as a null.</w:t>
            </w:r>
          </w:p>
          <w:p>
            <w:pPr>
              <w:spacing w:after="90" w:line="276"/>
              <w:jc w:val="both"/>
            </w:pPr>
            <w:r>
              <w:rPr>
                <w:rFonts w:ascii="Calibri" w:cs="Calibri" w:eastAsia="Calibri" w:hAnsi="Calibri"/>
                <w:sz w:val="20"/>
                <w:szCs w:val="20"/>
              </w:rPr>
              <w:t xml:space="preserve">Keep the water-subsidy flag. Without it, "greener" cannot be told apart from "irrigated".</w:t>
            </w:r>
          </w:p>
          <w:p>
            <w:pPr>
              <w:spacing w:after="90" w:line="276"/>
              <w:jc w:val="both"/>
            </w:pPr>
            <w:r>
              <w:rPr>
                <w:rFonts w:ascii="Calibri" w:cs="Calibri" w:eastAsia="Calibri" w:hAnsi="Calibri"/>
                <w:sz w:val="20"/>
                <w:szCs w:val="20"/>
              </w:rPr>
              <w:t xml:space="preserve">Run PL1 before A1. It tells you whether the rest is worth reading.</w:t>
            </w:r>
          </w:p>
          <w:p>
            <w:pPr>
              <w:spacing w:after="90" w:line="276"/>
              <w:jc w:val="both"/>
            </w:pPr>
            <w:r>
              <w:rPr>
                <w:rFonts w:ascii="Calibri" w:cs="Calibri" w:eastAsia="Calibri" w:hAnsi="Calibri"/>
                <w:sz w:val="20"/>
                <w:szCs w:val="20"/>
              </w:rPr>
              <w:t xml:space="preserve">If the cohort reaches 60-plus communities, the event-study figure is your strongest single piece of evidence — and the pre-onset years are the only place in the study where an assumption can be tested rather than argued.</w:t>
            </w:r>
          </w:p>
          <w:p>
            <w:pPr>
              <w:spacing w:after="90" w:line="276"/>
              <w:jc w:val="both"/>
            </w:pPr>
            <w:r>
              <w:rPr>
                <w:rFonts w:ascii="Calibri" w:cs="Calibri" w:eastAsia="Calibri" w:hAnsi="Calibri"/>
                <w:sz w:val="20"/>
                <w:szCs w:val="20"/>
              </w:rPr>
              <w:t xml:space="preserve">Report communities individually as well as on average. The typology and the per-community table are what turn one sentence about a mean into a picture of what the movement actually looks like — and the second study cannot be trained without them.</w:t>
            </w:r>
          </w:p>
          <w:p>
            <w:pPr>
              <w:spacing w:after="90" w:line="276"/>
              <w:jc w:val="both"/>
            </w:pPr>
            <w:r>
              <w:rPr>
                <w:rFonts w:ascii="Calibri" w:cs="Calibri" w:eastAsia="Calibri" w:hAnsi="Calibri"/>
                <w:sz w:val="20"/>
                <w:szCs w:val="20"/>
              </w:rPr>
              <w:t xml:space="preserve">Where a drought fell inside the window, check whether the advantage widens — and split that check by the water-subsidy flag. A widening gap among UNFLAGGED settlements is the closest this study comes to a sustainability test.</w:t>
            </w:r>
          </w:p>
          <w:p>
            <w:pPr>
              <w:spacing w:after="90" w:line="276"/>
              <w:jc w:val="both"/>
            </w:pPr>
            <w:r>
              <w:rPr>
                <w:rFonts w:ascii="Calibri" w:cs="Calibri" w:eastAsia="Calibri" w:hAnsi="Calibri"/>
                <w:sz w:val="20"/>
                <w:szCs w:val="20"/>
              </w:rPr>
              <w:t xml:space="preserve">Attach the detectable difference to every null. It is what turns "we found nothing" into a finding.</w:t>
            </w:r>
          </w:p>
          <w:p>
            <w:pPr>
              <w:spacing w:after="90" w:line="276"/>
              <w:jc w:val="both"/>
            </w:pPr>
            <w:r>
              <w:rPr>
                <w:rFonts w:ascii="Calibri" w:cs="Calibri" w:eastAsia="Calibri" w:hAnsi="Calibri"/>
                <w:sz w:val="20"/>
                <w:szCs w:val="20"/>
              </w:rPr>
              <w:t xml:space="preserve">Everything else in this plan is detail in service of those fifteen.</w:t>
            </w:r>
          </w:p>
        </w:tc>
      </w:tr>
    </w:tbl>
    <w:p>
      <w:r>
        <w:br w:type="page"/>
      </w:r>
    </w:p>
    <w:p>
      <w:pPr>
        <w:pStyle w:val="Heading1"/>
        <w:pBdr>
          <w:bottom w:val="single" w:color="1F3864" w:sz="12" w:space="6"/>
        </w:pBdr>
        <w:spacing w:after="200" w:before="400"/>
      </w:pPr>
      <w:r>
        <w:rPr>
          <w:rFonts w:ascii="Calibri" w:cs="Calibri" w:eastAsia="Calibri" w:hAnsi="Calibri"/>
          <w:b/>
          <w:bCs/>
          <w:color w:val="1F3864"/>
          <w:sz w:val="32"/>
          <w:szCs w:val="32"/>
        </w:rPr>
        <w:t xml:space="preserve">Appendix A  ·  The decisions log</w:t>
      </w:r>
    </w:p>
    <w:p>
      <w:pPr>
        <w:spacing w:after="120" w:line="276"/>
        <w:jc w:val="both"/>
      </w:pPr>
      <w:r>
        <w:rPr>
          <w:rFonts w:ascii="Calibri" w:cs="Calibri" w:eastAsia="Calibri" w:hAnsi="Calibri"/>
          <w:b w:val="false"/>
          <w:bCs w:val="false"/>
          <w:i w:val="false"/>
          <w:iCs w:val="false"/>
          <w:color w:val="000000"/>
          <w:sz w:val="21"/>
          <w:szCs w:val="21"/>
        </w:rPr>
        <w:t xml:space="preserve">One spreadsheet tab. One row per decision, with a date. This is the entirety of what remains of the old integrity architecture, and it takes a few minutes a week.</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1600"/>
        <w:gridCol w:w="2400"/>
        <w:gridCol w:w="3420"/>
      </w:tblGrid>
      <w:tr>
        <w:trPr>
          <w:tblHeader/>
        </w:trPr>
        <w:tc>
          <w:tcPr>
            <w:tcW w:type="dxa" w:w="16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Column</w:t>
            </w:r>
          </w:p>
        </w:tc>
        <w:tc>
          <w:tcPr>
            <w:tcW w:type="dxa" w:w="16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Example</w:t>
            </w:r>
          </w:p>
        </w:tc>
        <w:tc>
          <w:tcPr>
            <w:tcW w:type="dxa" w:w="24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What goes in it</w:t>
            </w:r>
          </w:p>
        </w:tc>
        <w:tc>
          <w:tcPr>
            <w:tcW w:type="dxa" w:w="34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Why</w:t>
            </w:r>
          </w:p>
        </w:tc>
      </w:tr>
      <w:tr>
        <w:tc>
          <w:tcPr>
            <w:tcW w:type="dxa" w:w="1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date</w:t>
            </w:r>
          </w:p>
        </w:tc>
        <w:tc>
          <w:tcPr>
            <w:tcW w:type="dxa" w:w="1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2026-09-14</w:t>
            </w:r>
          </w:p>
        </w:tc>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day you decided</w:t>
            </w:r>
          </w:p>
        </w:tc>
        <w:tc>
          <w:tcPr>
            <w:tcW w:type="dxa" w:w="3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Ordering is the whole value of the log.</w:t>
            </w:r>
          </w:p>
        </w:tc>
      </w:tr>
      <w:tr>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stage</w:t>
            </w:r>
          </w:p>
        </w:tc>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Stage 6</w:t>
            </w:r>
          </w:p>
        </w:tc>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Which stage you were in</w:t>
            </w:r>
          </w:p>
        </w:tc>
        <w:tc>
          <w:tcPr>
            <w:tcW w:type="dxa" w:w="3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Makes it searchable.</w:t>
            </w:r>
          </w:p>
        </w:tc>
      </w:tr>
      <w:tr>
        <w:tc>
          <w:tcPr>
            <w:tcW w:type="dxa" w:w="1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issue</w:t>
            </w:r>
          </w:p>
        </w:tc>
        <w:tc>
          <w:tcPr>
            <w:tcW w:type="dxa" w:w="1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VM1 and VM2 correlate at 0.91</w:t>
            </w:r>
          </w:p>
        </w:tc>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What you faced</w:t>
            </w:r>
          </w:p>
        </w:tc>
        <w:tc>
          <w:tcPr>
            <w:tcW w:type="dxa" w:w="3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decision without its problem is uninterpretable a year later.</w:t>
            </w:r>
          </w:p>
        </w:tc>
      </w:tr>
      <w:tr>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decision</w:t>
            </w:r>
          </w:p>
        </w:tc>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Kept both; recorded the correlation</w:t>
            </w:r>
          </w:p>
        </w:tc>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What you did</w:t>
            </w:r>
          </w:p>
        </w:tc>
        <w:tc>
          <w:tcPr>
            <w:tcW w:type="dxa" w:w="3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
            </w:r>
          </w:p>
        </w:tc>
      </w:tr>
      <w:tr>
        <w:tc>
          <w:tcPr>
            <w:tcW w:type="dxa" w:w="1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reason</w:t>
            </w:r>
          </w:p>
        </w:tc>
        <w:tc>
          <w:tcPr>
            <w:tcW w:type="dxa" w:w="16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Both are E-class productivity measures; dropping one would leave the dimension with a single metric</w:t>
            </w:r>
          </w:p>
        </w:tc>
        <w:tc>
          <w:tcPr>
            <w:tcW w:type="dxa" w:w="24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Why</w:t>
            </w:r>
          </w:p>
        </w:tc>
        <w:tc>
          <w:tcPr>
            <w:tcW w:type="dxa" w:w="34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This is the column that saves you in the viva.</w:t>
            </w:r>
          </w:p>
        </w:tc>
      </w:tr>
      <w:tr>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changes_results</w:t>
            </w:r>
          </w:p>
        </w:tc>
        <w:tc>
          <w:tcPr>
            <w:tcW w:type="dxa" w:w="16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no / yes / unknown</w:t>
            </w:r>
          </w:p>
        </w:tc>
        <w:tc>
          <w:tcPr>
            <w:tcW w:type="dxa" w:w="24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Whether it could move a result</w:t>
            </w:r>
          </w:p>
        </w:tc>
        <w:tc>
          <w:tcPr>
            <w:tcW w:type="dxa" w:w="34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Decisions that could move a result deserve a sentence in the paper.</w:t>
            </w:r>
          </w:p>
        </w:tc>
      </w:tr>
    </w:tbl>
    <w:p>
      <w:pPr>
        <w:spacing w:after="120"/>
      </w:pPr>
    </w:p>
    <w:p>
      <w:pPr>
        <w:spacing w:after="120" w:line="276"/>
        <w:jc w:val="both"/>
      </w:pPr>
      <w:r>
        <w:rPr>
          <w:rFonts w:ascii="Calibri" w:cs="Calibri" w:eastAsia="Calibri" w:hAnsi="Calibri"/>
          <w:b/>
          <w:bCs/>
          <w:i w:val="false"/>
          <w:iCs w:val="false"/>
          <w:color w:val="000000"/>
          <w:sz w:val="21"/>
          <w:szCs w:val="21"/>
        </w:rPr>
        <w:t xml:space="preserve">Log the decisions you later reversed as well. </w:t>
      </w:r>
      <w:r>
        <w:rPr>
          <w:rFonts w:ascii="Calibri" w:cs="Calibri" w:eastAsia="Calibri" w:hAnsi="Calibri"/>
          <w:b w:val="false"/>
          <w:bCs w:val="false"/>
          <w:i w:val="false"/>
          <w:iCs w:val="false"/>
          <w:color w:val="000000"/>
          <w:sz w:val="21"/>
          <w:szCs w:val="21"/>
        </w:rPr>
        <w:t xml:space="preserve">A log showing only what survived is a tidied story, and a reader who suspects tidying discounts all of it. The reversals are what make it credible.</w:t>
      </w:r>
    </w:p>
    <w:p>
      <w:pPr>
        <w:spacing w:after="120" w:line="276"/>
        <w:jc w:val="both"/>
      </w:pPr>
      <w:r>
        <w:rPr>
          <w:rFonts w:ascii="Calibri" w:cs="Calibri" w:eastAsia="Calibri" w:hAnsi="Calibri"/>
          <w:b w:val="false"/>
          <w:bCs w:val="false"/>
          <w:i w:val="false"/>
          <w:iCs w:val="false"/>
          <w:color w:val="000000"/>
          <w:sz w:val="21"/>
          <w:szCs w:val="21"/>
        </w:rPr>
        <w:t xml:space="preserve">Seed values belong here too: the reference-pool draw, the semi-urban split, the double-coding subsample, and any permutation or bootstrap seed. Record each on the day you set it.</w:t>
      </w:r>
    </w:p>
    <w:p>
      <w:r>
        <w:br w:type="page"/>
      </w:r>
    </w:p>
    <w:p>
      <w:pPr>
        <w:pStyle w:val="Heading1"/>
        <w:pBdr>
          <w:bottom w:val="single" w:color="1F3864" w:sz="12" w:space="6"/>
        </w:pBdr>
        <w:spacing w:after="200" w:before="400"/>
      </w:pPr>
      <w:r>
        <w:rPr>
          <w:rFonts w:ascii="Calibri" w:cs="Calibri" w:eastAsia="Calibri" w:hAnsi="Calibri"/>
          <w:b/>
          <w:bCs/>
          <w:color w:val="1F3864"/>
          <w:sz w:val="32"/>
          <w:szCs w:val="32"/>
        </w:rPr>
        <w:t xml:space="preserve">Appendix B  ·  Every formula in one place</w:t>
      </w:r>
    </w:p>
    <w:p>
      <w:pPr>
        <w:pStyle w:val="Heading2"/>
        <w:spacing w:after="130" w:before="280"/>
      </w:pPr>
      <w:r>
        <w:rPr>
          <w:rFonts w:ascii="Calibri" w:cs="Calibri" w:eastAsia="Calibri" w:hAnsi="Calibri"/>
          <w:b/>
          <w:bCs/>
          <w:color w:val="2E5496"/>
          <w:sz w:val="25"/>
          <w:szCs w:val="25"/>
        </w:rPr>
        <w:t xml:space="preserve">B.1  Spectral indices</w:t>
      </w:r>
    </w:p>
    <w:p>
      <w:pPr>
        <w:spacing w:after="130" w:before="130"/>
        <w:jc w:val="center"/>
      </w:pPr>
      <w:r>
        <w:rPr>
          <w:rFonts w:ascii="Consolas" w:cs="Consolas" w:eastAsia="Consolas" w:hAnsi="Consolas"/>
          <w:b/>
          <w:bCs/>
          <w:sz w:val="22"/>
          <w:szCs w:val="22"/>
        </w:rPr>
        <w:t xml:space="preserve">NDVI  =  ( NIR − Red ) / ( NIR + Red )</w:t>
      </w:r>
    </w:p>
    <w:p>
      <w:pPr>
        <w:spacing w:after="130" w:before="130"/>
        <w:jc w:val="center"/>
      </w:pPr>
      <w:r>
        <w:rPr>
          <w:rFonts w:ascii="Consolas" w:cs="Consolas" w:eastAsia="Consolas" w:hAnsi="Consolas"/>
          <w:b/>
          <w:bCs/>
          <w:sz w:val="22"/>
          <w:szCs w:val="22"/>
        </w:rPr>
        <w:t xml:space="preserve">kNDVI  =  tanh( NDVI² )</w:t>
      </w:r>
    </w:p>
    <w:p>
      <w:pPr>
        <w:spacing w:after="130" w:before="130"/>
        <w:jc w:val="center"/>
      </w:pPr>
      <w:r>
        <w:rPr>
          <w:rFonts w:ascii="Consolas" w:cs="Consolas" w:eastAsia="Consolas" w:hAnsi="Consolas"/>
          <w:b/>
          <w:bCs/>
          <w:sz w:val="22"/>
          <w:szCs w:val="22"/>
        </w:rPr>
        <w:t xml:space="preserve">NDMI  =  ( NIR − SWIR1 ) / ( NIR + SWIR1 )</w:t>
      </w:r>
    </w:p>
    <w:p>
      <w:pPr>
        <w:spacing w:after="130" w:before="130"/>
        <w:jc w:val="center"/>
      </w:pPr>
      <w:r>
        <w:rPr>
          <w:rFonts w:ascii="Consolas" w:cs="Consolas" w:eastAsia="Consolas" w:hAnsi="Consolas"/>
          <w:b/>
          <w:bCs/>
          <w:sz w:val="22"/>
          <w:szCs w:val="22"/>
        </w:rPr>
        <w:t xml:space="preserve">NIRv  =  NDVI × NIR</w:t>
      </w:r>
    </w:p>
    <w:p>
      <w:pPr>
        <w:spacing w:after="130" w:before="130"/>
        <w:jc w:val="center"/>
      </w:pPr>
      <w:r>
        <w:rPr>
          <w:rFonts w:ascii="Consolas" w:cs="Consolas" w:eastAsia="Consolas" w:hAnsi="Consolas"/>
          <w:b/>
          <w:bCs/>
          <w:sz w:val="22"/>
          <w:szCs w:val="22"/>
        </w:rPr>
        <w:t xml:space="preserve">BSI  =  ( (SWIR1 + Red) − (NIR + Blue) ) / ( (SWIR1 + Red) + (NIR + Blue) )</w:t>
      </w:r>
    </w:p>
    <w:p>
      <w:pPr>
        <w:spacing w:after="130" w:before="130"/>
        <w:jc w:val="center"/>
      </w:pPr>
      <w:r>
        <w:rPr>
          <w:rFonts w:ascii="Consolas" w:cs="Consolas" w:eastAsia="Consolas" w:hAnsi="Consolas"/>
          <w:b/>
          <w:bCs/>
          <w:sz w:val="22"/>
          <w:szCs w:val="22"/>
        </w:rPr>
        <w:t xml:space="preserve">NDRE  =  ( NIR − RedEdge1 ) / ( NIR + RedEdge1 )</w:t>
      </w:r>
    </w:p>
    <w:p>
      <w:pPr>
        <w:spacing w:after="130" w:before="0"/>
        <w:jc w:val="center"/>
      </w:pPr>
      <w:r>
        <w:rPr>
          <w:rFonts w:ascii="Calibri" w:cs="Calibri" w:eastAsia="Calibri" w:hAnsi="Calibri"/>
          <w:i/>
          <w:iCs/>
          <w:color w:val="595959"/>
          <w:sz w:val="17"/>
          <w:szCs w:val="17"/>
        </w:rPr>
        <w:t xml:space="preserve">Sentinel-2 bands: Blue = B2, Green = B3, Red = B4, RedEdge1 = B5, NIR = B8, SWIR1 = B11</w:t>
      </w:r>
    </w:p>
    <w:p>
      <w:pPr>
        <w:pStyle w:val="Heading2"/>
        <w:spacing w:after="130" w:before="280"/>
      </w:pPr>
      <w:r>
        <w:rPr>
          <w:rFonts w:ascii="Calibri" w:cs="Calibri" w:eastAsia="Calibri" w:hAnsi="Calibri"/>
          <w:b/>
          <w:bCs/>
          <w:color w:val="2E5496"/>
          <w:sz w:val="25"/>
          <w:szCs w:val="25"/>
        </w:rPr>
        <w:t xml:space="preserve">B.2  Annual metrics</w:t>
      </w:r>
    </w:p>
    <w:p>
      <w:pPr>
        <w:spacing w:after="130" w:before="130"/>
        <w:jc w:val="center"/>
      </w:pPr>
      <w:r>
        <w:rPr>
          <w:rFonts w:ascii="Consolas" w:cs="Consolas" w:eastAsia="Consolas" w:hAnsi="Consolas"/>
          <w:b/>
          <w:bCs/>
          <w:sz w:val="22"/>
          <w:szCs w:val="22"/>
        </w:rPr>
        <w:t xml:space="preserve">VM1  kNDVI seasonal integral  =  Σ over the 12 monthly kNDVI composites</w:t>
      </w:r>
    </w:p>
    <w:p>
      <w:pPr>
        <w:spacing w:after="130" w:before="130"/>
        <w:jc w:val="center"/>
      </w:pPr>
      <w:r>
        <w:rPr>
          <w:rFonts w:ascii="Consolas" w:cs="Consolas" w:eastAsia="Consolas" w:hAnsi="Consolas"/>
          <w:b/>
          <w:bCs/>
          <w:sz w:val="22"/>
          <w:szCs w:val="22"/>
        </w:rPr>
        <w:t xml:space="preserve">VM3  Dry-season minimum NDVI  =  min over the 12 monthly NDVI composites</w:t>
      </w:r>
    </w:p>
    <w:p>
      <w:pPr>
        <w:spacing w:after="130" w:before="130"/>
        <w:jc w:val="center"/>
      </w:pPr>
      <w:r>
        <w:rPr>
          <w:rFonts w:ascii="Consolas" w:cs="Consolas" w:eastAsia="Consolas" w:hAnsi="Consolas"/>
          <w:b/>
          <w:bCs/>
          <w:sz w:val="22"/>
          <w:szCs w:val="22"/>
        </w:rPr>
        <w:t xml:space="preserve">VM5  Green cover duration  =  count of months with NDVI &gt; ( NDVI_min + 0.5 × ( NDVI_max − NDVI_min ) )</w:t>
      </w:r>
    </w:p>
    <w:p>
      <w:pPr>
        <w:spacing w:after="130" w:before="130"/>
        <w:jc w:val="center"/>
      </w:pPr>
      <w:r>
        <w:rPr>
          <w:rFonts w:ascii="Consolas" w:cs="Consolas" w:eastAsia="Consolas" w:hAnsi="Consolas"/>
          <w:b/>
          <w:bCs/>
          <w:sz w:val="22"/>
          <w:szCs w:val="22"/>
        </w:rPr>
        <w:t xml:space="preserve">VM7  Interannual variability  =  SD( annual mean NDVI over 7 years ) / mean( annual mean NDVI )</w:t>
      </w:r>
    </w:p>
    <w:p>
      <w:pPr>
        <w:spacing w:after="130" w:before="130"/>
        <w:jc w:val="center"/>
      </w:pPr>
      <w:r>
        <w:rPr>
          <w:rFonts w:ascii="Consolas" w:cs="Consolas" w:eastAsia="Consolas" w:hAnsi="Consolas"/>
          <w:b/>
          <w:bCs/>
          <w:sz w:val="22"/>
          <w:szCs w:val="22"/>
        </w:rPr>
        <w:t xml:space="preserve">VM10  Spectral diversity  =  mean over the zone of  SD( NDVI ) within a 70 m radius window</w:t>
      </w:r>
    </w:p>
    <w:p>
      <w:pPr>
        <w:spacing w:after="130" w:before="0"/>
        <w:jc w:val="center"/>
      </w:pPr>
      <w:r>
        <w:rPr>
          <w:rFonts w:ascii="Calibri" w:cs="Calibri" w:eastAsia="Calibri" w:hAnsi="Calibri"/>
          <w:i/>
          <w:iCs/>
          <w:color w:val="595959"/>
          <w:sz w:val="17"/>
          <w:szCs w:val="17"/>
        </w:rPr>
        <w:t xml:space="preserve">a 70 m window holds 153 pixels at 10 m. Also computed at 40 m (50 px) and 100 m (314 px) for SC17</w:t>
      </w:r>
    </w:p>
    <w:p>
      <w:pPr>
        <w:spacing w:after="130" w:before="130"/>
        <w:jc w:val="center"/>
      </w:pPr>
      <w:r>
        <w:rPr>
          <w:rFonts w:ascii="Consolas" w:cs="Consolas" w:eastAsia="Consolas" w:hAnsi="Consolas"/>
          <w:b/>
          <w:bCs/>
          <w:sz w:val="22"/>
          <w:szCs w:val="22"/>
        </w:rPr>
        <w:t xml:space="preserve">VM11  Phenological asynchrony  =  mean over the zone of  SD( month of peak NDVI ) within the same window</w:t>
      </w:r>
    </w:p>
    <w:p>
      <w:pPr>
        <w:spacing w:after="130" w:before="130"/>
        <w:jc w:val="center"/>
      </w:pPr>
      <w:r>
        <w:rPr>
          <w:rFonts w:ascii="Consolas" w:cs="Consolas" w:eastAsia="Consolas" w:hAnsi="Consolas"/>
          <w:b/>
          <w:bCs/>
          <w:sz w:val="22"/>
          <w:szCs w:val="22"/>
        </w:rPr>
        <w:t xml:space="preserve">VM12  Edge density  =  total length of land-cover class boundaries  /  window area, in m per ha</w:t>
      </w:r>
    </w:p>
    <w:p>
      <w:pPr>
        <w:spacing w:after="130" w:before="130"/>
        <w:jc w:val="center"/>
      </w:pPr>
      <w:r>
        <w:rPr>
          <w:rFonts w:ascii="Consolas" w:cs="Consolas" w:eastAsia="Consolas" w:hAnsi="Consolas"/>
          <w:b/>
          <w:bCs/>
          <w:sz w:val="22"/>
          <w:szCs w:val="22"/>
        </w:rPr>
        <w:t xml:space="preserve">VM13  Red-edge chlorophyll  =  NDRE at the month of peak NDVI</w:t>
      </w:r>
    </w:p>
    <w:p>
      <w:pPr>
        <w:spacing w:after="130" w:before="130"/>
        <w:jc w:val="center"/>
      </w:pPr>
      <w:r>
        <w:rPr>
          <w:rFonts w:ascii="Consolas" w:cs="Consolas" w:eastAsia="Consolas" w:hAnsi="Consolas"/>
          <w:b/>
          <w:bCs/>
          <w:sz w:val="22"/>
          <w:szCs w:val="22"/>
        </w:rPr>
        <w:t xml:space="preserve">VM14  Seasonal decline rate  =  max over the descending limb of [ NDVI(m) − NDVI(m+1) ]</w:t>
      </w:r>
    </w:p>
    <w:p>
      <w:pPr>
        <w:spacing w:after="130" w:before="0"/>
        <w:jc w:val="center"/>
      </w:pPr>
      <w:r>
        <w:rPr>
          <w:rFonts w:ascii="Calibri" w:cs="Calibri" w:eastAsia="Calibri" w:hAnsi="Calibri"/>
          <w:i/>
          <w:iCs/>
          <w:color w:val="595959"/>
          <w:sz w:val="17"/>
          <w:szCs w:val="17"/>
        </w:rPr>
        <w:t xml:space="preserve">sign-inverted before rescaling, so a SLOW decline scores higher</w:t>
      </w:r>
    </w:p>
    <w:p>
      <w:pPr>
        <w:pStyle w:val="Heading2"/>
        <w:spacing w:after="130" w:before="280"/>
      </w:pPr>
      <w:r>
        <w:rPr>
          <w:rFonts w:ascii="Calibri" w:cs="Calibri" w:eastAsia="Calibri" w:hAnsi="Calibri"/>
          <w:b/>
          <w:bCs/>
          <w:color w:val="2E5496"/>
          <w:sz w:val="25"/>
          <w:szCs w:val="25"/>
        </w:rPr>
        <w:t xml:space="preserve">B.3  Rescaling and aggregation</w:t>
      </w:r>
    </w:p>
    <w:p>
      <w:pPr>
        <w:spacing w:after="130" w:before="130"/>
        <w:jc w:val="center"/>
      </w:pPr>
      <w:r>
        <w:rPr>
          <w:rFonts w:ascii="Consolas" w:cs="Consolas" w:eastAsia="Consolas" w:hAnsi="Consolas"/>
          <w:b/>
          <w:bCs/>
          <w:sz w:val="22"/>
          <w:szCs w:val="22"/>
        </w:rPr>
        <w:t xml:space="preserve">rescaled(m,i)  =  ( raw(m,i) − LOW(m,s) ) / ( HIGH(m,s) − LOW(m,s) ),   clipped to [0,1]</w:t>
      </w:r>
    </w:p>
    <w:p>
      <w:pPr>
        <w:spacing w:after="130" w:before="0"/>
        <w:jc w:val="center"/>
      </w:pPr>
      <w:r>
        <w:rPr>
          <w:rFonts w:ascii="Calibri" w:cs="Calibri" w:eastAsia="Calibri" w:hAnsi="Calibri"/>
          <w:i/>
          <w:iCs/>
          <w:color w:val="595959"/>
          <w:sz w:val="17"/>
          <w:szCs w:val="17"/>
        </w:rPr>
        <w:t xml:space="preserve">CONDITION metrics: HIGH = 95th percentile of NATURAL pool; LOW = 5th percentile of SEMI-URBAN reference subset</w:t>
      </w:r>
    </w:p>
    <w:p>
      <w:pPr>
        <w:spacing w:after="130" w:before="0"/>
        <w:jc w:val="center"/>
      </w:pPr>
      <w:r>
        <w:rPr>
          <w:rFonts w:ascii="Calibri" w:cs="Calibri" w:eastAsia="Calibri" w:hAnsi="Calibri"/>
          <w:i/>
          <w:iCs/>
          <w:color w:val="595959"/>
          <w:sz w:val="17"/>
          <w:szCs w:val="17"/>
        </w:rPr>
        <w:t xml:space="preserve">PROVISIONING metrics: HIGH = 95th percentile of PRODUCTIVE pool; LOW = 5th percentile of NATURAL pool</w:t>
      </w:r>
    </w:p>
    <w:p>
      <w:pPr>
        <w:spacing w:after="60"/>
      </w:pPr>
    </w:p>
    <w:p>
      <w:pPr>
        <w:spacing w:after="130" w:before="130"/>
        <w:jc w:val="center"/>
      </w:pPr>
      <w:r>
        <w:rPr>
          <w:rFonts w:ascii="Consolas" w:cs="Consolas" w:eastAsia="Consolas" w:hAnsi="Consolas"/>
          <w:b/>
          <w:bCs/>
          <w:sz w:val="22"/>
          <w:szCs w:val="22"/>
        </w:rPr>
        <w:t xml:space="preserve">sign inversion (VM6, VM7, VM14):   raw_inverted  =  −raw     [applied BEFORE rescaling]</w:t>
      </w:r>
    </w:p>
    <w:p>
      <w:pPr>
        <w:spacing w:after="60"/>
      </w:pPr>
    </w:p>
    <w:p>
      <w:pPr>
        <w:spacing w:after="130" w:before="130"/>
        <w:jc w:val="center"/>
      </w:pPr>
      <w:r>
        <w:rPr>
          <w:rFonts w:ascii="Consolas" w:cs="Consolas" w:eastAsia="Consolas" w:hAnsi="Consolas"/>
          <w:b/>
          <w:bCs/>
          <w:sz w:val="22"/>
          <w:szCs w:val="22"/>
        </w:rPr>
        <w:t xml:space="preserve">VCI-P = mean( r(VM1), r(VM2), r(VM13) )</w:t>
      </w:r>
    </w:p>
    <w:p>
      <w:pPr>
        <w:spacing w:after="130" w:before="130"/>
        <w:jc w:val="center"/>
      </w:pPr>
      <w:r>
        <w:rPr>
          <w:rFonts w:ascii="Consolas" w:cs="Consolas" w:eastAsia="Consolas" w:hAnsi="Consolas"/>
          <w:b/>
          <w:bCs/>
          <w:sz w:val="22"/>
          <w:szCs w:val="22"/>
        </w:rPr>
        <w:t xml:space="preserve">VCI-S = mean( r(VM3), r(VM4), r(VM5), r(VM6), r(VM7), r(VM14) )</w:t>
      </w:r>
    </w:p>
    <w:p>
      <w:pPr>
        <w:spacing w:after="130" w:before="130"/>
        <w:jc w:val="center"/>
      </w:pPr>
      <w:r>
        <w:rPr>
          <w:rFonts w:ascii="Consolas" w:cs="Consolas" w:eastAsia="Consolas" w:hAnsi="Consolas"/>
          <w:b/>
          <w:bCs/>
          <w:sz w:val="22"/>
          <w:szCs w:val="22"/>
        </w:rPr>
        <w:t xml:space="preserve">VCI-T = mean( r(VM8), r(VM9) )</w:t>
      </w:r>
    </w:p>
    <w:p>
      <w:pPr>
        <w:spacing w:after="130" w:before="130"/>
        <w:jc w:val="center"/>
      </w:pPr>
      <w:r>
        <w:rPr>
          <w:rFonts w:ascii="Consolas" w:cs="Consolas" w:eastAsia="Consolas" w:hAnsi="Consolas"/>
          <w:b/>
          <w:bCs/>
          <w:sz w:val="22"/>
          <w:szCs w:val="22"/>
        </w:rPr>
        <w:t xml:space="preserve">VCI-C = mean( r(VM10), r(VM11), r(VM12) )</w:t>
      </w:r>
    </w:p>
    <w:p>
      <w:pPr>
        <w:spacing w:after="130" w:before="130"/>
        <w:jc w:val="center"/>
      </w:pPr>
      <w:r>
        <w:rPr>
          <w:rFonts w:ascii="Consolas" w:cs="Consolas" w:eastAsia="Consolas" w:hAnsi="Consolas"/>
          <w:b/>
          <w:bCs/>
          <w:sz w:val="22"/>
          <w:szCs w:val="22"/>
        </w:rPr>
        <w:t xml:space="preserve">VCI   =  ( VCI-P × VCI-S × VCI-T × VCI-C ) ^ (1/4)</w:t>
      </w:r>
    </w:p>
    <w:p>
      <w:pPr>
        <w:spacing w:after="130" w:before="0"/>
        <w:jc w:val="center"/>
      </w:pPr>
      <w:r>
        <w:rPr>
          <w:rFonts w:ascii="Calibri" w:cs="Calibri" w:eastAsia="Calibri" w:hAnsi="Calibri"/>
          <w:i/>
          <w:iCs/>
          <w:color w:val="595959"/>
          <w:sz w:val="17"/>
          <w:szCs w:val="17"/>
        </w:rPr>
        <w:t xml:space="preserve">each rescaled value floored at 0.01 before the product is taken</w:t>
      </w:r>
    </w:p>
    <w:p>
      <w:pPr>
        <w:spacing w:after="60"/>
      </w:pPr>
    </w:p>
    <w:p>
      <w:pPr>
        <w:spacing w:after="130" w:before="130"/>
        <w:jc w:val="center"/>
      </w:pPr>
      <w:r>
        <w:rPr>
          <w:rFonts w:ascii="Consolas" w:cs="Consolas" w:eastAsia="Consolas" w:hAnsi="Consolas"/>
          <w:b/>
          <w:bCs/>
          <w:sz w:val="22"/>
          <w:szCs w:val="22"/>
        </w:rPr>
        <w:t xml:space="preserve">PCI  =  mean( r(PM1), r(PM2), r(PM3) )</w:t>
      </w:r>
    </w:p>
    <w:p>
      <w:pPr>
        <w:spacing w:after="130" w:before="130"/>
        <w:jc w:val="center"/>
      </w:pPr>
      <w:r>
        <w:rPr>
          <w:rFonts w:ascii="Consolas" w:cs="Consolas" w:eastAsia="Consolas" w:hAnsi="Consolas"/>
          <w:b/>
          <w:bCs/>
          <w:sz w:val="22"/>
          <w:szCs w:val="22"/>
        </w:rPr>
        <w:t xml:space="preserve">MDS  =  mean( r(VM5), r(VM6), r(VM11), r(VM12), r(VM14), r(PM1), r(PM2) )</w:t>
      </w:r>
    </w:p>
    <w:p>
      <w:pPr>
        <w:pStyle w:val="Heading2"/>
        <w:spacing w:after="130" w:before="280"/>
      </w:pPr>
      <w:r>
        <w:rPr>
          <w:rFonts w:ascii="Calibri" w:cs="Calibri" w:eastAsia="Calibri" w:hAnsi="Calibri"/>
          <w:b/>
          <w:bCs/>
          <w:color w:val="2E5496"/>
          <w:sz w:val="25"/>
          <w:szCs w:val="25"/>
        </w:rPr>
        <w:t xml:space="preserve">B.4  Flag components</w:t>
      </w:r>
    </w:p>
    <w:p>
      <w:pPr>
        <w:spacing w:after="130" w:before="130"/>
        <w:jc w:val="center"/>
      </w:pPr>
      <w:r>
        <w:rPr>
          <w:rFonts w:ascii="Consolas" w:cs="Consolas" w:eastAsia="Consolas" w:hAnsi="Consolas"/>
          <w:b/>
          <w:bCs/>
          <w:sz w:val="22"/>
          <w:szCs w:val="22"/>
        </w:rPr>
        <w:t xml:space="preserve">FC1  Rainfall–NDVI coupling  =  corr( NDVI_anom(y), Rain_anom(y) ),  y = 1…7</w:t>
      </w:r>
    </w:p>
    <w:p>
      <w:pPr>
        <w:spacing w:after="130" w:before="0"/>
        <w:jc w:val="center"/>
      </w:pPr>
      <w:r>
        <w:rPr>
          <w:rFonts w:ascii="Calibri" w:cs="Calibri" w:eastAsia="Calibri" w:hAnsi="Calibri"/>
          <w:i/>
          <w:iCs/>
          <w:color w:val="595959"/>
          <w:sz w:val="17"/>
          <w:szCs w:val="17"/>
        </w:rPr>
        <w:t xml:space="preserve">anom(y) = value(y) − mean over the seven years</w:t>
      </w:r>
    </w:p>
    <w:p>
      <w:pPr>
        <w:spacing w:after="130" w:before="130"/>
        <w:jc w:val="center"/>
      </w:pPr>
      <w:r>
        <w:rPr>
          <w:rFonts w:ascii="Consolas" w:cs="Consolas" w:eastAsia="Consolas" w:hAnsi="Consolas"/>
          <w:b/>
          <w:bCs/>
          <w:sz w:val="22"/>
          <w:szCs w:val="22"/>
        </w:rPr>
        <w:t xml:space="preserve">FC2  Rain-use efficiency  =  mean annual kNDVI integral  /  mean annual rainfall</w:t>
      </w:r>
    </w:p>
    <w:p>
      <w:pPr>
        <w:spacing w:after="130" w:before="130"/>
        <w:jc w:val="center"/>
      </w:pPr>
      <w:r>
        <w:rPr>
          <w:rFonts w:ascii="Consolas" w:cs="Consolas" w:eastAsia="Consolas" w:hAnsi="Consolas"/>
          <w:b/>
          <w:bCs/>
          <w:sz w:val="22"/>
          <w:szCs w:val="22"/>
        </w:rPr>
        <w:t xml:space="preserve">FC3  Bare-soil episode frequency  =  count of months with mean BSI &gt; stratum 75th percentile</w:t>
      </w:r>
    </w:p>
    <w:p>
      <w:pPr>
        <w:spacing w:after="130" w:before="130"/>
        <w:jc w:val="center"/>
      </w:pPr>
      <w:r>
        <w:rPr>
          <w:rFonts w:ascii="Consolas" w:cs="Consolas" w:eastAsia="Consolas" w:hAnsi="Consolas"/>
          <w:b/>
          <w:bCs/>
          <w:sz w:val="22"/>
          <w:szCs w:val="22"/>
        </w:rPr>
        <w:t xml:space="preserve">FC4  Transition abruptness  =  max over months of | NDVI(m+1) − NDVI(m) |</w:t>
      </w:r>
    </w:p>
    <w:p>
      <w:pPr>
        <w:spacing w:after="130" w:before="0"/>
        <w:jc w:val="center"/>
      </w:pPr>
      <w:r>
        <w:rPr>
          <w:rFonts w:ascii="Calibri" w:cs="Calibri" w:eastAsia="Calibri" w:hAnsi="Calibri"/>
          <w:i/>
          <w:iCs/>
          <w:color w:val="595959"/>
          <w:sz w:val="17"/>
          <w:szCs w:val="17"/>
        </w:rPr>
        <w:t xml:space="preserve">Flag RAISED when both components cross the stratum 90th percentile (10th, for FC1)</w:t>
      </w:r>
    </w:p>
    <w:p>
      <w:pPr>
        <w:pStyle w:val="Heading2"/>
        <w:spacing w:after="130" w:before="280"/>
      </w:pPr>
      <w:r>
        <w:rPr>
          <w:rFonts w:ascii="Calibri" w:cs="Calibri" w:eastAsia="Calibri" w:hAnsi="Calibri"/>
          <w:b/>
          <w:bCs/>
          <w:color w:val="2E5496"/>
          <w:sz w:val="25"/>
          <w:szCs w:val="25"/>
        </w:rPr>
        <w:t xml:space="preserve">B.5  Analysis</w:t>
      </w:r>
    </w:p>
    <w:p>
      <w:pPr>
        <w:spacing w:after="130" w:before="130"/>
        <w:jc w:val="center"/>
      </w:pPr>
      <w:r>
        <w:rPr>
          <w:rFonts w:ascii="Consolas" w:cs="Consolas" w:eastAsia="Consolas" w:hAnsi="Consolas"/>
          <w:b/>
          <w:bCs/>
          <w:sz w:val="22"/>
          <w:szCs w:val="22"/>
        </w:rPr>
        <w:t xml:space="preserve">outcome  =  β₀ + β₁·SITE_TYPE + β₂·built_fraction + Σβₖ·covariates + quartet + ε</w:t>
      </w:r>
    </w:p>
    <w:p>
      <w:pPr>
        <w:spacing w:after="130" w:before="0"/>
        <w:jc w:val="center"/>
      </w:pPr>
      <w:r>
        <w:rPr>
          <w:rFonts w:ascii="Calibri" w:cs="Calibri" w:eastAsia="Calibri" w:hAnsi="Calibri"/>
          <w:i/>
          <w:iCs/>
          <w:color w:val="595959"/>
          <w:sz w:val="17"/>
          <w:szCs w:val="17"/>
        </w:rPr>
        <w:t xml:space="preserve">standard errors clustered at site level; β₁ is the estimand</w:t>
      </w:r>
    </w:p>
    <w:p>
      <w:pPr>
        <w:spacing w:after="60"/>
      </w:pPr>
    </w:p>
    <w:p>
      <w:pPr>
        <w:spacing w:after="130" w:before="130"/>
        <w:jc w:val="center"/>
      </w:pPr>
      <w:r>
        <w:rPr>
          <w:rFonts w:ascii="Consolas" w:cs="Consolas" w:eastAsia="Consolas" w:hAnsi="Consolas"/>
          <w:b/>
          <w:bCs/>
          <w:sz w:val="22"/>
          <w:szCs w:val="22"/>
        </w:rPr>
        <w:t xml:space="preserve">Standardised mean difference (balance)  =  ( mean₁ − mean₀ ) / SD_pooled</w:t>
      </w:r>
    </w:p>
    <w:p>
      <w:pPr>
        <w:spacing w:after="130" w:before="0"/>
        <w:jc w:val="center"/>
      </w:pPr>
      <w:r>
        <w:rPr>
          <w:rFonts w:ascii="Calibri" w:cs="Calibri" w:eastAsia="Calibri" w:hAnsi="Calibri"/>
          <w:i/>
          <w:iCs/>
          <w:color w:val="595959"/>
          <w:sz w:val="17"/>
          <w:szCs w:val="17"/>
        </w:rPr>
        <w:t xml:space="preserve">below 0.10 excellent, 0.10–0.25 acceptable, above 0.25 report as imbalanced</w:t>
      </w:r>
    </w:p>
    <w:p>
      <w:pPr>
        <w:spacing w:after="60"/>
      </w:pPr>
    </w:p>
    <w:p>
      <w:pPr>
        <w:spacing w:after="130" w:before="130"/>
        <w:jc w:val="center"/>
      </w:pPr>
      <w:r>
        <w:rPr>
          <w:rFonts w:ascii="Consolas" w:cs="Consolas" w:eastAsia="Consolas" w:hAnsi="Consolas"/>
          <w:b/>
          <w:bCs/>
          <w:sz w:val="22"/>
          <w:szCs w:val="22"/>
        </w:rPr>
        <w:t xml:space="preserve">Equivalence (A2): reject H0₋ if ( β̂₁ + δ ) / SE &gt; t_crit   AND   reject H0₊ if ( δ − β̂₁ ) / SE &gt; t_crit</w:t>
      </w:r>
    </w:p>
    <w:p>
      <w:pPr>
        <w:spacing w:after="130" w:before="0"/>
        <w:jc w:val="center"/>
      </w:pPr>
      <w:r>
        <w:rPr>
          <w:rFonts w:ascii="Calibri" w:cs="Calibri" w:eastAsia="Calibri" w:hAnsi="Calibri"/>
          <w:i/>
          <w:iCs/>
          <w:color w:val="595959"/>
          <w:sz w:val="17"/>
          <w:szCs w:val="17"/>
        </w:rPr>
        <w:t xml:space="preserve">with δ = 0.15 SD; equivalent to checking the 90% interval lies entirely within ±δ</w:t>
      </w:r>
    </w:p>
    <w:p>
      <w:pPr>
        <w:pStyle w:val="Heading2"/>
        <w:spacing w:after="130" w:before="280"/>
      </w:pPr>
      <w:r>
        <w:rPr>
          <w:rFonts w:ascii="Calibri" w:cs="Calibri" w:eastAsia="Calibri" w:hAnsi="Calibri"/>
          <w:b/>
          <w:bCs/>
          <w:color w:val="2E5496"/>
          <w:sz w:val="25"/>
          <w:szCs w:val="25"/>
        </w:rPr>
        <w:t xml:space="preserve">B.6  The longitudinal cohort</w:t>
      </w:r>
    </w:p>
    <w:p>
      <w:pPr>
        <w:spacing w:after="130" w:before="130"/>
        <w:jc w:val="center"/>
      </w:pPr>
      <w:r>
        <w:rPr>
          <w:rFonts w:ascii="Consolas" w:cs="Consolas" w:eastAsia="Consolas" w:hAnsi="Consolas"/>
          <w:b/>
          <w:bCs/>
          <w:sz w:val="22"/>
          <w:szCs w:val="22"/>
        </w:rPr>
        <w:t xml:space="preserve">Δ VCI(i)  =  mean VCI over the 4 post-onset years (τ +1…+4)  −  mean VCI over the 3 pre-onset years (τ −3…−1)</w:t>
      </w:r>
    </w:p>
    <w:p>
      <w:pPr>
        <w:spacing w:after="130" w:before="0"/>
        <w:jc w:val="center"/>
      </w:pPr>
      <w:r>
        <w:rPr>
          <w:rFonts w:ascii="Calibri" w:cs="Calibri" w:eastAsia="Calibri" w:hAnsi="Calibri"/>
          <w:i/>
          <w:iCs/>
          <w:color w:val="595959"/>
          <w:sz w:val="17"/>
          <w:szCs w:val="17"/>
        </w:rPr>
        <w:t xml:space="preserve">the onset year itself is excluded as a transition period</w:t>
      </w:r>
    </w:p>
    <w:p>
      <w:pPr>
        <w:spacing w:after="60"/>
      </w:pPr>
    </w:p>
    <w:p>
      <w:pPr>
        <w:spacing w:after="130" w:before="130"/>
        <w:jc w:val="center"/>
      </w:pPr>
      <w:r>
        <w:rPr>
          <w:rFonts w:ascii="Consolas" w:cs="Consolas" w:eastAsia="Consolas" w:hAnsi="Consolas"/>
          <w:b/>
          <w:bCs/>
          <w:sz w:val="22"/>
          <w:szCs w:val="22"/>
        </w:rPr>
        <w:t xml:space="preserve">Δ VCI  =  β₀ + β₁·SITE_TYPE + β₂·Δ built_fraction + quartet + ε</w:t>
      </w:r>
    </w:p>
    <w:p>
      <w:pPr>
        <w:spacing w:after="130" w:before="0"/>
        <w:jc w:val="center"/>
      </w:pPr>
      <w:r>
        <w:rPr>
          <w:rFonts w:ascii="Calibri" w:cs="Calibri" w:eastAsia="Calibri" w:hAnsi="Calibri"/>
          <w:i/>
          <w:iCs/>
          <w:color w:val="595959"/>
          <w:sz w:val="17"/>
          <w:szCs w:val="17"/>
        </w:rPr>
        <w:t xml:space="preserve">β₁ is the difference-in-differences estimate; standard errors clustered at site</w:t>
      </w:r>
    </w:p>
    <w:p>
      <w:pPr>
        <w:spacing w:after="60"/>
      </w:pPr>
    </w:p>
    <w:p>
      <w:pPr>
        <w:spacing w:after="130" w:before="130"/>
        <w:jc w:val="center"/>
      </w:pPr>
      <w:r>
        <w:rPr>
          <w:rFonts w:ascii="Consolas" w:cs="Consolas" w:eastAsia="Consolas" w:hAnsi="Consolas"/>
          <w:b/>
          <w:bCs/>
          <w:sz w:val="22"/>
          <w:szCs w:val="22"/>
        </w:rPr>
        <w:t xml:space="preserve">σ_Δ  =  √( 1/n_pre + 1/n_post ) × σ_t   =  √( 1/3 + 1/4 ) × σ_t  ≈  0.764 × σ_t</w:t>
      </w:r>
    </w:p>
    <w:p>
      <w:pPr>
        <w:spacing w:after="130" w:before="0"/>
        <w:jc w:val="center"/>
      </w:pPr>
      <w:r>
        <w:rPr>
          <w:rFonts w:ascii="Calibri" w:cs="Calibri" w:eastAsia="Calibri" w:hAnsi="Calibri"/>
          <w:i/>
          <w:iCs/>
          <w:color w:val="595959"/>
          <w:sz w:val="17"/>
          <w:szCs w:val="17"/>
        </w:rPr>
        <w:t xml:space="preserve">σ_t is the interannual SD at a site. Note the windows do NOT need to be equal — only n_pre and n_post enter</w:t>
      </w:r>
    </w:p>
    <w:p>
      <w:pPr>
        <w:spacing w:after="120" w:line="276"/>
        <w:jc w:val="both"/>
      </w:pPr>
      <w:r>
        <w:rPr>
          <w:rFonts w:ascii="Calibri" w:cs="Calibri" w:eastAsia="Calibri" w:hAnsi="Calibri"/>
          <w:b w:val="false"/>
          <w:bCs w:val="false"/>
          <w:i w:val="false"/>
          <w:iCs w:val="false"/>
          <w:color w:val="000000"/>
          <w:sz w:val="21"/>
          <w:szCs w:val="21"/>
        </w:rPr>
        <w:t xml:space="preserve">This is why the cohort is more precise per site than the cross-sectional contrast: the site fixed effect cancels, so the residual is interannual variation (σ_Δ ≈ 0.015–0.031) rather than between-site variation (0.089).</w:t>
      </w:r>
    </w:p>
    <w:p>
      <w:pPr>
        <w:spacing w:after="60"/>
      </w:pPr>
    </w:p>
    <w:p>
      <w:pPr>
        <w:spacing w:after="130" w:before="130"/>
        <w:jc w:val="center"/>
      </w:pPr>
      <w:r>
        <w:rPr>
          <w:rFonts w:ascii="Consolas" w:cs="Consolas" w:eastAsia="Consolas" w:hAnsi="Consolas"/>
          <w:b/>
          <w:bCs/>
          <w:sz w:val="22"/>
          <w:szCs w:val="22"/>
        </w:rPr>
        <w:t xml:space="preserve">Pre-trend test:   event-study coefficient at each τ &lt; 0, using ALL available pre-years per site</w:t>
      </w:r>
    </w:p>
    <w:p>
      <w:pPr>
        <w:spacing w:after="130" w:before="0"/>
        <w:jc w:val="center"/>
      </w:pPr>
      <w:r>
        <w:rPr>
          <w:rFonts w:ascii="Calibri" w:cs="Calibri" w:eastAsia="Calibri" w:hAnsi="Calibri"/>
          <w:i/>
          <w:iCs/>
          <w:color w:val="595959"/>
          <w:sz w:val="17"/>
          <w:szCs w:val="17"/>
        </w:rPr>
        <w:t xml:space="preserve">both coefficients should be indistinguishable from zero if parallel trends holds</w:t>
      </w:r>
    </w:p>
    <w:p>
      <w:pPr>
        <w:pStyle w:val="Heading2"/>
        <w:spacing w:after="130" w:before="280"/>
      </w:pPr>
      <w:r>
        <w:rPr>
          <w:rFonts w:ascii="Calibri" w:cs="Calibri" w:eastAsia="Calibri" w:hAnsi="Calibri"/>
          <w:b/>
          <w:bCs/>
          <w:color w:val="2E5496"/>
          <w:sz w:val="25"/>
          <w:szCs w:val="25"/>
        </w:rPr>
        <w:t xml:space="preserve">B.7  Polygon geometry, reference matching, and the size gradient (A9)</w:t>
      </w:r>
    </w:p>
    <w:p>
      <w:pPr>
        <w:spacing w:after="130" w:before="130"/>
        <w:jc w:val="center"/>
      </w:pPr>
      <w:r>
        <w:rPr>
          <w:rFonts w:ascii="Consolas" w:cs="Consolas" w:eastAsia="Consolas" w:hAnsi="Consolas"/>
          <w:b/>
          <w:bCs/>
          <w:sz w:val="22"/>
          <w:szCs w:val="22"/>
        </w:rPr>
        <w:t xml:space="preserve">measurement area  =  the drawn polygon         minimum 1.0 ha</w:t>
      </w:r>
    </w:p>
    <w:p>
      <w:pPr>
        <w:spacing w:after="130" w:before="0"/>
        <w:jc w:val="center"/>
      </w:pPr>
      <w:r>
        <w:rPr>
          <w:rFonts w:ascii="Calibri" w:cs="Calibri" w:eastAsia="Calibri" w:hAnsi="Calibri"/>
          <w:i/>
          <w:iCs/>
          <w:color w:val="595959"/>
          <w:sz w:val="17"/>
          <w:szCs w:val="17"/>
        </w:rPr>
        <w:t xml:space="preserve">below 1.0 ha a 75 m circle is used instead and the site is flagged</w:t>
      </w:r>
    </w:p>
    <w:p>
      <w:pPr>
        <w:spacing w:after="130" w:before="130"/>
        <w:jc w:val="center"/>
      </w:pPr>
      <w:r>
        <w:rPr>
          <w:rFonts w:ascii="Consolas" w:cs="Consolas" w:eastAsia="Consolas" w:hAnsi="Consolas"/>
          <w:b/>
          <w:bCs/>
          <w:sz w:val="22"/>
          <w:szCs w:val="22"/>
        </w:rPr>
        <w:t xml:space="preserve">control geometry  =  the settlement polygon translated so its centroid sits on the control centre</w:t>
      </w:r>
    </w:p>
    <w:p>
      <w:pPr>
        <w:spacing w:after="130" w:before="0"/>
        <w:jc w:val="center"/>
      </w:pPr>
      <w:r>
        <w:rPr>
          <w:rFonts w:ascii="Calibri" w:cs="Calibri" w:eastAsia="Calibri" w:hAnsi="Calibri"/>
          <w:i/>
          <w:iCs/>
          <w:color w:val="595959"/>
          <w:sz w:val="17"/>
          <w:szCs w:val="17"/>
        </w:rPr>
        <w:t xml:space="preserve">no resizing, no reshaping, no rotation</w:t>
      </w:r>
    </w:p>
    <w:p>
      <w:pPr>
        <w:spacing w:after="60"/>
      </w:pPr>
    </w:p>
    <w:p>
      <w:pPr>
        <w:spacing w:after="130" w:before="130"/>
        <w:jc w:val="center"/>
      </w:pPr>
      <w:r>
        <w:rPr>
          <w:rFonts w:ascii="Consolas" w:cs="Consolas" w:eastAsia="Consolas" w:hAnsi="Consolas"/>
          <w:b/>
          <w:bCs/>
          <w:sz w:val="22"/>
          <w:szCs w:val="22"/>
        </w:rPr>
        <w:t xml:space="preserve">reference circle  =  whichever of 75, 110, 150, 210, 300 m is closest in AREA to the polygon</w:t>
      </w:r>
    </w:p>
    <w:p>
      <w:pPr>
        <w:spacing w:after="130" w:before="0"/>
        <w:jc w:val="center"/>
      </w:pPr>
      <w:r>
        <w:rPr>
          <w:rFonts w:ascii="Calibri" w:cs="Calibri" w:eastAsia="Calibri" w:hAnsi="Calibri"/>
          <w:i/>
          <w:iCs/>
          <w:color w:val="595959"/>
          <w:sz w:val="17"/>
          <w:szCs w:val="17"/>
        </w:rPr>
        <w:t xml:space="preserve">areas 1.77, 3.80, 7.07, 13.85, 28.27 ha; each about twice the last, so the worst gap is 1.47x (~3% shift)</w:t>
      </w:r>
    </w:p>
    <w:p>
      <w:pPr>
        <w:spacing w:after="60"/>
      </w:pPr>
    </w:p>
    <w:p>
      <w:pPr>
        <w:spacing w:after="130" w:before="130"/>
        <w:jc w:val="center"/>
      </w:pPr>
      <w:r>
        <w:rPr>
          <w:rFonts w:ascii="Consolas" w:cs="Consolas" w:eastAsia="Consolas" w:hAnsi="Consolas"/>
          <w:b/>
          <w:bCs/>
          <w:sz w:val="22"/>
          <w:szCs w:val="22"/>
        </w:rPr>
        <w:t xml:space="preserve">redraw overlap (T8c)  =  area( draw1 ∩ draw2 )  /  area( draw1 ∪ draw2 )</w:t>
      </w:r>
    </w:p>
    <w:p>
      <w:pPr>
        <w:spacing w:after="130" w:before="0"/>
        <w:jc w:val="center"/>
      </w:pPr>
      <w:r>
        <w:rPr>
          <w:rFonts w:ascii="Calibri" w:cs="Calibri" w:eastAsia="Calibri" w:hAnsi="Calibri"/>
          <w:i/>
          <w:iCs/>
          <w:color w:val="595959"/>
          <w:sz w:val="17"/>
          <w:szCs w:val="17"/>
        </w:rPr>
        <w:t xml:space="preserve">runs 0 to 1; report the mean and the count below 0.80</w:t>
      </w:r>
    </w:p>
    <w:p>
      <w:pPr>
        <w:spacing w:after="60"/>
      </w:pPr>
    </w:p>
    <w:p>
      <w:pPr>
        <w:spacing w:after="130" w:before="130"/>
        <w:jc w:val="center"/>
      </w:pPr>
      <w:r>
        <w:rPr>
          <w:rFonts w:ascii="Consolas" w:cs="Consolas" w:eastAsia="Consolas" w:hAnsi="Consolas"/>
          <w:b/>
          <w:bCs/>
          <w:sz w:val="22"/>
          <w:szCs w:val="22"/>
        </w:rPr>
        <w:t xml:space="preserve">noise law:   σ(A)  =  0.089 × ( A / 7.07 ha ) ^ −0.135</w:t>
      </w:r>
    </w:p>
    <w:p>
      <w:pPr>
        <w:spacing w:after="130" w:before="0"/>
        <w:jc w:val="center"/>
      </w:pPr>
      <w:r>
        <w:rPr>
          <w:rFonts w:ascii="Calibri" w:cs="Calibri" w:eastAsia="Calibri" w:hAnsi="Calibri"/>
          <w:i/>
          <w:iCs/>
          <w:color w:val="595959"/>
          <w:sz w:val="17"/>
          <w:szCs w:val="17"/>
        </w:rPr>
        <w:t xml:space="preserve">0.107 at 1.77 ha, 0.089 at 7.07 ha, 0.074 at 28.27 ha</w:t>
      </w:r>
    </w:p>
    <w:p>
      <w:pPr>
        <w:spacing w:after="60"/>
      </w:pPr>
    </w:p>
    <w:p>
      <w:pPr>
        <w:spacing w:after="130" w:before="130"/>
        <w:jc w:val="center"/>
      </w:pPr>
      <w:r>
        <w:rPr>
          <w:rFonts w:ascii="Consolas" w:cs="Consolas" w:eastAsia="Consolas" w:hAnsi="Consolas"/>
          <w:b/>
          <w:bCs/>
          <w:sz w:val="22"/>
          <w:szCs w:val="22"/>
        </w:rPr>
        <w:t xml:space="preserve">DILUTION NULL:   expected effect(A)  =  local effect  ×  min( 1 , A / 7.07 ha )</w:t>
      </w:r>
    </w:p>
    <w:p>
      <w:pPr>
        <w:spacing w:after="130" w:before="0"/>
        <w:jc w:val="center"/>
      </w:pPr>
      <w:r>
        <w:rPr>
          <w:rFonts w:ascii="Calibri" w:cs="Calibri" w:eastAsia="Calibri" w:hAnsi="Calibri"/>
          <w:i/>
          <w:iCs/>
          <w:color w:val="595959"/>
          <w:sz w:val="17"/>
          <w:szCs w:val="17"/>
        </w:rPr>
        <w:t xml:space="preserve">coverage of the COMMON 150 m circle by a community working A hectares</w:t>
      </w:r>
    </w:p>
    <w:p>
      <w:pPr>
        <w:spacing w:after="130" w:before="130"/>
        <w:jc w:val="center"/>
      </w:pPr>
      <w:r>
        <w:rPr>
          <w:rFonts w:ascii="Consolas" w:cs="Consolas" w:eastAsia="Consolas" w:hAnsi="Consolas"/>
          <w:b/>
          <w:bCs/>
          <w:sz w:val="22"/>
          <w:szCs w:val="22"/>
        </w:rPr>
        <w:t xml:space="preserve">A9:   VCI  =  β₀ + β₁·SITE_TYPE × s(log POLYGON_AREA) + s(ONSET_AGE) + covariates + quartet + ε</w:t>
      </w:r>
    </w:p>
    <w:p>
      <w:pPr>
        <w:spacing w:after="130" w:before="0"/>
        <w:jc w:val="center"/>
      </w:pPr>
      <w:r>
        <w:rPr>
          <w:rFonts w:ascii="Calibri" w:cs="Calibri" w:eastAsia="Calibri" w:hAnsi="Calibri"/>
          <w:i/>
          <w:iCs/>
          <w:color w:val="595959"/>
          <w:sz w:val="17"/>
          <w:szCs w:val="17"/>
        </w:rPr>
        <w:t xml:space="preserve">fitted on the COMMON 150 m circle, never on the polygon, so every site is measured identically</w:t>
      </w:r>
    </w:p>
    <w:p>
      <w:pPr>
        <w:pStyle w:val="Heading2"/>
        <w:spacing w:after="130" w:before="280"/>
      </w:pPr>
      <w:r>
        <w:rPr>
          <w:rFonts w:ascii="Calibri" w:cs="Calibri" w:eastAsia="Calibri" w:hAnsi="Calibri"/>
          <w:b/>
          <w:bCs/>
          <w:color w:val="2E5496"/>
          <w:sz w:val="25"/>
          <w:szCs w:val="25"/>
        </w:rPr>
        <w:t xml:space="preserve">B.8  Contour alignment (SC15)</w:t>
      </w:r>
    </w:p>
    <w:p>
      <w:pPr>
        <w:spacing w:after="130" w:before="130"/>
        <w:jc w:val="center"/>
      </w:pPr>
      <w:r>
        <w:rPr>
          <w:rFonts w:ascii="Consolas" w:cs="Consolas" w:eastAsia="Consolas" w:hAnsi="Consolas"/>
          <w:b/>
          <w:bCs/>
          <w:sz w:val="22"/>
          <w:szCs w:val="22"/>
        </w:rPr>
        <w:t xml:space="preserve">SIZE_CLASS  =  small if managed_area &lt; 6 ha ;  medium if 6 to 12 ha ;  large if &gt; 12 ha</w:t>
      </w:r>
    </w:p>
    <w:p>
      <w:pPr>
        <w:spacing w:after="130" w:before="0"/>
        <w:jc w:val="center"/>
      </w:pPr>
      <w:r>
        <w:rPr>
          <w:rFonts w:ascii="Calibri" w:cs="Calibri" w:eastAsia="Calibri" w:hAnsi="Calibri"/>
          <w:i/>
          <w:iCs/>
          <w:color w:val="595959"/>
          <w:sz w:val="17"/>
          <w:szCs w:val="17"/>
        </w:rPr>
        <w:t xml:space="preserve">uncoded managed area defaults to medium and is flagged</w:t>
      </w:r>
    </w:p>
    <w:p>
      <w:pPr>
        <w:spacing w:after="130" w:before="130"/>
        <w:jc w:val="center"/>
      </w:pPr>
      <w:r>
        <w:rPr>
          <w:rFonts w:ascii="Consolas" w:cs="Consolas" w:eastAsia="Consolas" w:hAnsi="Consolas"/>
          <w:b/>
          <w:bCs/>
          <w:sz w:val="22"/>
          <w:szCs w:val="22"/>
        </w:rPr>
        <w:t xml:space="preserve">radius  =  100 m (small) | 150 m (medium) | 200 m (large)          buffer  =  radius + 70 m</w:t>
      </w:r>
    </w:p>
    <w:p>
      <w:pPr>
        <w:spacing w:after="130" w:before="0"/>
        <w:jc w:val="center"/>
      </w:pPr>
      <w:r>
        <w:rPr>
          <w:rFonts w:ascii="Calibri" w:cs="Calibri" w:eastAsia="Calibri" w:hAnsi="Calibri"/>
          <w:i/>
          <w:iCs/>
          <w:color w:val="595959"/>
          <w:sz w:val="17"/>
          <w:szCs w:val="17"/>
        </w:rPr>
        <w:t xml:space="preserve">the 70 m addition is the configuration window radius</w:t>
      </w:r>
    </w:p>
    <w:p>
      <w:pPr>
        <w:spacing w:after="60"/>
      </w:pPr>
    </w:p>
    <w:p>
      <w:pPr>
        <w:spacing w:after="130" w:before="130"/>
        <w:jc w:val="center"/>
      </w:pPr>
      <w:r>
        <w:rPr>
          <w:rFonts w:ascii="Consolas" w:cs="Consolas" w:eastAsia="Consolas" w:hAnsi="Consolas"/>
          <w:b/>
          <w:bCs/>
          <w:sz w:val="22"/>
          <w:szCs w:val="22"/>
        </w:rPr>
        <w:t xml:space="preserve">noise law fitted to the pilot:   σ(r)  =  0.089 × ( r / 150 ) ^ −0.27</w:t>
      </w:r>
    </w:p>
    <w:p>
      <w:pPr>
        <w:spacing w:after="130" w:before="0"/>
        <w:jc w:val="center"/>
      </w:pPr>
      <w:r>
        <w:rPr>
          <w:rFonts w:ascii="Calibri" w:cs="Calibri" w:eastAsia="Calibri" w:hAnsi="Calibri"/>
          <w:i/>
          <w:iCs/>
          <w:color w:val="595959"/>
          <w:sz w:val="17"/>
          <w:szCs w:val="17"/>
        </w:rPr>
        <w:t xml:space="preserve">gives 0.099 at 100 m, 0.089 at 150 m, 0.082 at 200 m</w:t>
      </w:r>
    </w:p>
    <w:p>
      <w:pPr>
        <w:spacing w:after="130" w:before="130"/>
        <w:jc w:val="center"/>
      </w:pPr>
      <w:r>
        <w:rPr>
          <w:rFonts w:ascii="Consolas" w:cs="Consolas" w:eastAsia="Consolas" w:hAnsi="Consolas"/>
          <w:b/>
          <w:bCs/>
          <w:sz w:val="22"/>
          <w:szCs w:val="22"/>
        </w:rPr>
        <w:t xml:space="preserve">class boundaries: solve  1 / σ(r₁)  =  ( A / area(r₂) ) / σ(r₂)</w:t>
      </w:r>
    </w:p>
    <w:p>
      <w:pPr>
        <w:spacing w:after="130" w:before="0"/>
        <w:jc w:val="center"/>
      </w:pPr>
      <w:r>
        <w:rPr>
          <w:rFonts w:ascii="Calibri" w:cs="Calibri" w:eastAsia="Calibri" w:hAnsi="Calibri"/>
          <w:i/>
          <w:iCs/>
          <w:color w:val="595959"/>
          <w:sz w:val="17"/>
          <w:szCs w:val="17"/>
        </w:rPr>
        <w:t xml:space="preserve">crossover at 6.4 ha between 100 and 150 m, and 11.6 ha between 150 and 200 m; rounded to 6 and 12</w:t>
      </w:r>
    </w:p>
    <w:p>
      <w:pPr>
        <w:spacing w:after="60"/>
      </w:pPr>
    </w:p>
    <w:p>
      <w:pPr>
        <w:spacing w:after="130" w:before="130"/>
        <w:jc w:val="center"/>
      </w:pPr>
      <w:r>
        <w:rPr>
          <w:rFonts w:ascii="Consolas" w:cs="Consolas" w:eastAsia="Consolas" w:hAnsi="Consolas"/>
          <w:b/>
          <w:bCs/>
          <w:sz w:val="22"/>
          <w:szCs w:val="22"/>
        </w:rPr>
        <w:t xml:space="preserve">DILUTION NULL:   expected effect(A)  =  local effect  ×  min( 1 , A / 7.07 ha )</w:t>
      </w:r>
    </w:p>
    <w:p>
      <w:pPr>
        <w:spacing w:after="130" w:before="0"/>
        <w:jc w:val="center"/>
      </w:pPr>
      <w:r>
        <w:rPr>
          <w:rFonts w:ascii="Calibri" w:cs="Calibri" w:eastAsia="Calibri" w:hAnsi="Calibri"/>
          <w:i/>
          <w:iCs/>
          <w:color w:val="595959"/>
          <w:sz w:val="17"/>
          <w:szCs w:val="17"/>
        </w:rPr>
        <w:t xml:space="preserve">the coverage of a COMMON 150 m zone by a community working A hectares</w:t>
      </w:r>
    </w:p>
    <w:p>
      <w:pPr>
        <w:spacing w:after="130" w:before="130"/>
        <w:jc w:val="center"/>
      </w:pPr>
      <w:r>
        <w:rPr>
          <w:rFonts w:ascii="Consolas" w:cs="Consolas" w:eastAsia="Consolas" w:hAnsi="Consolas"/>
          <w:b/>
          <w:bCs/>
          <w:sz w:val="22"/>
          <w:szCs w:val="22"/>
        </w:rPr>
        <w:t xml:space="preserve">A9:   VCI  =  β₀ + β₁·SITE_TYPE × s(log MANAGED_AREA) + s(ONSET_AGE) + covariates + quartet + ε</w:t>
      </w:r>
    </w:p>
    <w:p>
      <w:pPr>
        <w:spacing w:after="130" w:before="0"/>
        <w:jc w:val="center"/>
      </w:pPr>
      <w:r>
        <w:rPr>
          <w:rFonts w:ascii="Calibri" w:cs="Calibri" w:eastAsia="Calibri" w:hAnsi="Calibri"/>
          <w:i/>
          <w:iCs/>
          <w:color w:val="595959"/>
          <w:sz w:val="17"/>
          <w:szCs w:val="17"/>
        </w:rPr>
        <w:t xml:space="preserve">fitted on the COMMON 150 m zone, never on the size-matched zone; compared against the dilution curve</w:t>
      </w:r>
    </w:p>
    <w:p>
      <w:pPr>
        <w:pStyle w:val="Heading2"/>
        <w:spacing w:after="130" w:before="280"/>
      </w:pPr>
      <w:r>
        <w:rPr>
          <w:rFonts w:ascii="Calibri" w:cs="Calibri" w:eastAsia="Calibri" w:hAnsi="Calibri"/>
          <w:b/>
          <w:bCs/>
          <w:color w:val="2E5496"/>
          <w:sz w:val="25"/>
          <w:szCs w:val="25"/>
        </w:rPr>
        <w:t xml:space="preserve">B.9  Contour alignment (SC15)</w:t>
      </w:r>
    </w:p>
    <w:p>
      <w:pPr>
        <w:spacing w:after="130" w:before="130"/>
        <w:jc w:val="center"/>
      </w:pPr>
      <w:r>
        <w:rPr>
          <w:rFonts w:ascii="Consolas" w:cs="Consolas" w:eastAsia="Consolas" w:hAnsi="Consolas"/>
          <w:b/>
          <w:bCs/>
          <w:sz w:val="22"/>
          <w:szCs w:val="22"/>
        </w:rPr>
        <w:t xml:space="preserve">contour direction  =  terrain aspect  +  90°</w:t>
      </w:r>
    </w:p>
    <w:p>
      <w:pPr>
        <w:spacing w:after="130" w:before="130"/>
        <w:jc w:val="center"/>
      </w:pPr>
      <w:r>
        <w:rPr>
          <w:rFonts w:ascii="Consolas" w:cs="Consolas" w:eastAsia="Consolas" w:hAnsi="Consolas"/>
          <w:b/>
          <w:bCs/>
          <w:sz w:val="22"/>
          <w:szCs w:val="22"/>
        </w:rPr>
        <w:t xml:space="preserve">CA  =  weighted mean over the zone of  | cos( θ_boundary  −  θ_contour ) |</w:t>
      </w:r>
    </w:p>
    <w:p>
      <w:pPr>
        <w:spacing w:after="130" w:before="0"/>
        <w:jc w:val="center"/>
      </w:pPr>
      <w:r>
        <w:rPr>
          <w:rFonts w:ascii="Calibri" w:cs="Calibri" w:eastAsia="Calibri" w:hAnsi="Calibri"/>
          <w:i/>
          <w:iCs/>
          <w:color w:val="595959"/>
          <w:sz w:val="17"/>
          <w:szCs w:val="17"/>
        </w:rPr>
        <w:t xml:space="preserve">θ_boundary from the gradient orientation of the land-cover probability surface, in a 70 m window; weights are gradient magnitude</w:t>
      </w:r>
    </w:p>
    <w:p>
      <w:pPr>
        <w:spacing w:after="130" w:before="130"/>
        <w:jc w:val="center"/>
      </w:pPr>
      <w:r>
        <w:rPr>
          <w:rFonts w:ascii="Consolas" w:cs="Consolas" w:eastAsia="Consolas" w:hAnsi="Consolas"/>
          <w:b/>
          <w:bCs/>
          <w:sz w:val="22"/>
          <w:szCs w:val="22"/>
        </w:rPr>
        <w:t xml:space="preserve">CA  =  NULL  where local slope &lt; declared threshold</w:t>
      </w:r>
    </w:p>
    <w:p>
      <w:pPr>
        <w:spacing w:after="130" w:before="0"/>
        <w:jc w:val="center"/>
      </w:pPr>
      <w:r>
        <w:rPr>
          <w:rFonts w:ascii="Calibri" w:cs="Calibri" w:eastAsia="Calibri" w:hAnsi="Calibri"/>
          <w:i/>
          <w:iCs/>
          <w:color w:val="595959"/>
          <w:sz w:val="17"/>
          <w:szCs w:val="17"/>
        </w:rPr>
        <w:t xml:space="preserve">aspect is undefined or unstable on flat ground, so a value there would be noise</w:t>
      </w:r>
    </w:p>
    <w:p>
      <w:pPr>
        <w:spacing w:after="120" w:line="276"/>
        <w:jc w:val="both"/>
      </w:pPr>
      <w:r>
        <w:rPr>
          <w:rFonts w:ascii="Calibri" w:cs="Calibri" w:eastAsia="Calibri" w:hAnsi="Calibri"/>
          <w:b w:val="false"/>
          <w:bCs w:val="false"/>
          <w:i w:val="false"/>
          <w:iCs w:val="false"/>
          <w:color w:val="000000"/>
          <w:sz w:val="21"/>
          <w:szCs w:val="21"/>
        </w:rPr>
        <w:t xml:space="preserve">CA runs from 0 to 1, where 1 means land-cover boundaries follow the contour exactly. It is a SUPPLEMENTARY metric, used only in SC15 and in the PC02 claim-signature comparison, and it never enters VCI.</w:t>
      </w:r>
    </w:p>
    <w:p>
      <w:pPr>
        <w:pStyle w:val="Heading2"/>
        <w:spacing w:after="130" w:before="280"/>
      </w:pPr>
      <w:r>
        <w:rPr>
          <w:rFonts w:ascii="Calibri" w:cs="Calibri" w:eastAsia="Calibri" w:hAnsi="Calibri"/>
          <w:b/>
          <w:bCs/>
          <w:color w:val="2E5496"/>
          <w:sz w:val="25"/>
          <w:szCs w:val="25"/>
        </w:rPr>
        <w:t xml:space="preserve">B.10  Drought-year interaction test (SC14)</w:t>
      </w:r>
    </w:p>
    <w:p>
      <w:pPr>
        <w:spacing w:after="130" w:before="130"/>
        <w:jc w:val="center"/>
      </w:pPr>
      <w:r>
        <w:rPr>
          <w:rFonts w:ascii="Consolas" w:cs="Consolas" w:eastAsia="Consolas" w:hAnsi="Consolas"/>
          <w:b/>
          <w:bCs/>
          <w:sz w:val="22"/>
          <w:szCs w:val="22"/>
        </w:rPr>
        <w:t xml:space="preserve">DROUGHT(site, year)  =  1  if  rainfall(year)  &lt;  15th percentile of that site’s 20-year climatology</w:t>
      </w:r>
    </w:p>
    <w:p>
      <w:pPr>
        <w:spacing w:after="130" w:before="0"/>
        <w:jc w:val="center"/>
      </w:pPr>
      <w:r>
        <w:rPr>
          <w:rFonts w:ascii="Calibri" w:cs="Calibri" w:eastAsia="Calibri" w:hAnsi="Calibri"/>
          <w:i/>
          <w:iCs/>
          <w:color w:val="595959"/>
          <w:sz w:val="17"/>
          <w:szCs w:val="17"/>
        </w:rPr>
        <w:t xml:space="preserve">defined against the LONG record, never against the seven-year window</w:t>
      </w:r>
    </w:p>
    <w:p>
      <w:pPr>
        <w:spacing w:after="60"/>
      </w:pPr>
    </w:p>
    <w:p>
      <w:pPr>
        <w:spacing w:after="130" w:before="130"/>
        <w:jc w:val="center"/>
      </w:pPr>
      <w:r>
        <w:rPr>
          <w:rFonts w:ascii="Consolas" w:cs="Consolas" w:eastAsia="Consolas" w:hAnsi="Consolas"/>
          <w:b/>
          <w:bCs/>
          <w:sz w:val="22"/>
          <w:szCs w:val="22"/>
        </w:rPr>
        <w:t xml:space="preserve">VCI  =  β₀ + β₁·SITE_TYPE + β₂·DROUGHT + β₃·(SITE_TYPE × DROUGHT) + covariates + quartet + ε</w:t>
      </w:r>
    </w:p>
    <w:p>
      <w:pPr>
        <w:spacing w:after="130" w:before="0"/>
        <w:jc w:val="center"/>
      </w:pPr>
      <w:r>
        <w:rPr>
          <w:rFonts w:ascii="Calibri" w:cs="Calibri" w:eastAsia="Calibri" w:hAnsi="Calibri"/>
          <w:i/>
          <w:iCs/>
          <w:color w:val="595959"/>
          <w:sz w:val="17"/>
          <w:szCs w:val="17"/>
        </w:rPr>
        <w:t xml:space="preserve">β₃ is the estimand: how much the settlement advantage widens in a drought year</w:t>
      </w:r>
    </w:p>
    <w:p>
      <w:pPr>
        <w:spacing w:after="60"/>
      </w:pPr>
    </w:p>
    <w:p>
      <w:pPr>
        <w:spacing w:after="130" w:before="130"/>
        <w:jc w:val="center"/>
      </w:pPr>
      <w:r>
        <w:rPr>
          <w:rFonts w:ascii="Consolas" w:cs="Consolas" w:eastAsia="Consolas" w:hAnsi="Consolas"/>
          <w:b/>
          <w:bCs/>
          <w:sz w:val="22"/>
          <w:szCs w:val="22"/>
        </w:rPr>
        <w:t xml:space="preserve">Admission: at least 1 drought year AND at least 3 normal years inside the window</w:t>
      </w:r>
    </w:p>
    <w:p>
      <w:pPr>
        <w:spacing w:after="120" w:line="276"/>
        <w:jc w:val="both"/>
      </w:pPr>
      <w:r>
        <w:rPr>
          <w:rFonts w:ascii="Calibri" w:cs="Calibri" w:eastAsia="Calibri" w:hAnsi="Calibri"/>
          <w:b w:val="false"/>
          <w:bCs w:val="false"/>
          <w:i w:val="false"/>
          <w:iCs w:val="false"/>
          <w:color w:val="000000"/>
          <w:sz w:val="21"/>
          <w:szCs w:val="21"/>
        </w:rPr>
        <w:t xml:space="preserve">Report β₃ separately for settlements whose water-subsidy flag is raised and for those where it is not. A positive β₃ among UNFLAGGED settlements is the management story with irrigation ruled out; a positive β₃ only among flagged settlements is irrigation.</w:t>
      </w:r>
    </w:p>
    <w:p>
      <w:pPr>
        <w:pStyle w:val="Heading2"/>
        <w:spacing w:after="130" w:before="280"/>
      </w:pPr>
      <w:r>
        <w:rPr>
          <w:rFonts w:ascii="Calibri" w:cs="Calibri" w:eastAsia="Calibri" w:hAnsi="Calibri"/>
          <w:b/>
          <w:bCs/>
          <w:color w:val="2E5496"/>
          <w:sz w:val="25"/>
          <w:szCs w:val="25"/>
        </w:rPr>
        <w:t xml:space="preserve">B.11  Per-community shrinkage (§8.13)</w:t>
      </w:r>
    </w:p>
    <w:p>
      <w:pPr>
        <w:spacing w:after="130" w:before="130"/>
        <w:jc w:val="center"/>
      </w:pPr>
      <w:r>
        <w:rPr>
          <w:rFonts w:ascii="Consolas" w:cs="Consolas" w:eastAsia="Consolas" w:hAnsi="Consolas"/>
          <w:b/>
          <w:bCs/>
          <w:sz w:val="22"/>
          <w:szCs w:val="22"/>
        </w:rPr>
        <w:t xml:space="preserve">shrunk(i)  =  w(i) · raw(i)  +  ( 1 − w(i) ) · sample mean</w:t>
      </w:r>
    </w:p>
    <w:p>
      <w:pPr>
        <w:spacing w:after="130" w:before="130"/>
        <w:jc w:val="center"/>
      </w:pPr>
      <w:r>
        <w:rPr>
          <w:rFonts w:ascii="Consolas" w:cs="Consolas" w:eastAsia="Consolas" w:hAnsi="Consolas"/>
          <w:b/>
          <w:bCs/>
          <w:sz w:val="22"/>
          <w:szCs w:val="22"/>
        </w:rPr>
        <w:t xml:space="preserve">w(i)  =  τ²  /  ( τ² + σᵢ² )</w:t>
      </w:r>
    </w:p>
    <w:p>
      <w:pPr>
        <w:spacing w:after="130" w:before="0"/>
        <w:jc w:val="center"/>
      </w:pPr>
      <w:r>
        <w:rPr>
          <w:rFonts w:ascii="Calibri" w:cs="Calibri" w:eastAsia="Calibri" w:hAnsi="Calibri"/>
          <w:i/>
          <w:iCs/>
          <w:color w:val="595959"/>
          <w:sz w:val="17"/>
          <w:szCs w:val="17"/>
        </w:rPr>
        <w:t xml:space="preserve">τ² between-site variance; σᵢ² that site’s own sampling variance. Both estimated from the data</w:t>
      </w:r>
    </w:p>
    <w:p>
      <w:pPr>
        <w:spacing w:after="120" w:line="276"/>
        <w:jc w:val="both"/>
      </w:pPr>
      <w:r>
        <w:rPr>
          <w:rFonts w:ascii="Calibri" w:cs="Calibri" w:eastAsia="Calibri" w:hAnsi="Calibri"/>
          <w:b w:val="false"/>
          <w:bCs w:val="false"/>
          <w:i w:val="false"/>
          <w:iCs w:val="false"/>
          <w:color w:val="000000"/>
          <w:sz w:val="21"/>
          <w:szCs w:val="21"/>
        </w:rPr>
        <w:t xml:space="preserve">A well-measured site keeps more of its own value; a noisy one is pulled further toward the sample mean. The realised weight is itself reportable: a high weight means the communities genuinely differ from one another.</w:t>
      </w:r>
    </w:p>
    <w:p>
      <w:pPr>
        <w:pStyle w:val="Heading2"/>
        <w:spacing w:after="130" w:before="280"/>
      </w:pPr>
      <w:r>
        <w:rPr>
          <w:rFonts w:ascii="Calibri" w:cs="Calibri" w:eastAsia="Calibri" w:hAnsi="Calibri"/>
          <w:b/>
          <w:bCs/>
          <w:color w:val="2E5496"/>
          <w:sz w:val="25"/>
          <w:szCs w:val="25"/>
        </w:rPr>
        <w:t xml:space="preserve">B.12  Unmeasured-confounding sensitivity (SC11)</w:t>
      </w:r>
    </w:p>
    <w:p>
      <w:pPr>
        <w:spacing w:after="130" w:before="130"/>
        <w:jc w:val="center"/>
      </w:pPr>
      <w:r>
        <w:rPr>
          <w:rFonts w:ascii="Consolas" w:cs="Consolas" w:eastAsia="Consolas" w:hAnsi="Consolas"/>
          <w:b/>
          <w:bCs/>
          <w:sz w:val="22"/>
          <w:szCs w:val="22"/>
        </w:rPr>
        <w:t xml:space="preserve">RR  ≈  exp( 0.91 × d )</w:t>
      </w:r>
    </w:p>
    <w:p>
      <w:pPr>
        <w:spacing w:after="130" w:before="0"/>
        <w:jc w:val="center"/>
      </w:pPr>
      <w:r>
        <w:rPr>
          <w:rFonts w:ascii="Calibri" w:cs="Calibri" w:eastAsia="Calibri" w:hAnsi="Calibri"/>
          <w:i/>
          <w:iCs/>
          <w:color w:val="595959"/>
          <w:sz w:val="17"/>
          <w:szCs w:val="17"/>
        </w:rPr>
        <w:t xml:space="preserve">approximate conversion from a standardised mean difference d to a risk ratio</w:t>
      </w:r>
    </w:p>
    <w:p>
      <w:pPr>
        <w:spacing w:after="130" w:before="130"/>
        <w:jc w:val="center"/>
      </w:pPr>
      <w:r>
        <w:rPr>
          <w:rFonts w:ascii="Consolas" w:cs="Consolas" w:eastAsia="Consolas" w:hAnsi="Consolas"/>
          <w:b/>
          <w:bCs/>
          <w:sz w:val="22"/>
          <w:szCs w:val="22"/>
        </w:rPr>
        <w:t xml:space="preserve">E-value  =  RR  +  √( RR × ( RR − 1 ) )</w:t>
      </w:r>
    </w:p>
    <w:p>
      <w:pPr>
        <w:spacing w:after="130" w:before="0"/>
        <w:jc w:val="center"/>
      </w:pPr>
      <w:r>
        <w:rPr>
          <w:rFonts w:ascii="Calibri" w:cs="Calibri" w:eastAsia="Calibri" w:hAnsi="Calibri"/>
          <w:i/>
          <w:iCs/>
          <w:color w:val="595959"/>
          <w:sz w:val="17"/>
          <w:szCs w:val="17"/>
        </w:rPr>
        <w:t xml:space="preserve">computed for the point estimate AND for the confidence bound</w:t>
      </w:r>
    </w:p>
    <w:p>
      <w:pPr>
        <w:spacing w:after="120" w:line="276"/>
        <w:jc w:val="both"/>
      </w:pPr>
      <w:r>
        <w:rPr>
          <w:rFonts w:ascii="Calibri" w:cs="Calibri" w:eastAsia="Calibri" w:hAnsi="Calibri"/>
          <w:b w:val="false"/>
          <w:bCs w:val="false"/>
          <w:i w:val="false"/>
          <w:iCs w:val="false"/>
          <w:color w:val="000000"/>
          <w:sz w:val="21"/>
          <w:szCs w:val="21"/>
        </w:rPr>
        <w:t xml:space="preserve">The E-value is the minimum strength of association, on the risk-ratio scale, that an unmeasured confounder would need with BOTH the exposure and the outcome — above and beyond the measured covariates — to explain the observed result away.</w:t>
      </w:r>
    </w:p>
    <w:p>
      <w:pPr>
        <w:pStyle w:val="Heading2"/>
        <w:spacing w:after="130" w:before="280"/>
      </w:pPr>
      <w:r>
        <w:rPr>
          <w:rFonts w:ascii="Calibri" w:cs="Calibri" w:eastAsia="Calibri" w:hAnsi="Calibri"/>
          <w:b/>
          <w:bCs/>
          <w:color w:val="2E5496"/>
          <w:sz w:val="25"/>
          <w:szCs w:val="25"/>
        </w:rPr>
        <w:t xml:space="preserve">B.13  Sample size and detectable difference</w:t>
      </w:r>
    </w:p>
    <w:p>
      <w:pPr>
        <w:spacing w:after="130" w:before="130"/>
        <w:jc w:val="center"/>
      </w:pPr>
      <w:r>
        <w:rPr>
          <w:rFonts w:ascii="Consolas" w:cs="Consolas" w:eastAsia="Consolas" w:hAnsi="Consolas"/>
          <w:b/>
          <w:bCs/>
          <w:sz w:val="22"/>
          <w:szCs w:val="22"/>
        </w:rPr>
        <w:t xml:space="preserve">n  ≥  ( 1 + 1/k ) · ( z_α/2 + z_β )²  /  d²</w:t>
      </w:r>
    </w:p>
    <w:p>
      <w:pPr>
        <w:spacing w:after="130" w:before="0"/>
        <w:jc w:val="center"/>
      </w:pPr>
      <w:r>
        <w:rPr>
          <w:rFonts w:ascii="Calibri" w:cs="Calibri" w:eastAsia="Calibri" w:hAnsi="Calibri"/>
          <w:i/>
          <w:iCs/>
          <w:color w:val="595959"/>
          <w:sz w:val="17"/>
          <w:szCs w:val="17"/>
        </w:rPr>
        <w:t xml:space="preserve">k = controls per settlement; z_α/2 = 1.96 at 5%; z_β = 0.84 at 80% power</w:t>
      </w:r>
    </w:p>
    <w:p>
      <w:pPr>
        <w:spacing w:after="120" w:line="276"/>
        <w:jc w:val="both"/>
      </w:pPr>
      <w:r>
        <w:rPr>
          <w:rFonts w:ascii="Calibri" w:cs="Calibri" w:eastAsia="Calibri" w:hAnsi="Calibri"/>
          <w:b w:val="false"/>
          <w:bCs w:val="false"/>
          <w:i w:val="false"/>
          <w:iCs w:val="false"/>
          <w:color w:val="000000"/>
          <w:sz w:val="21"/>
          <w:szCs w:val="21"/>
        </w:rPr>
        <w:t xml:space="preserve">With k = 3 the factor (1 + 1/k) is 1.333 and (1.96 + 0.84)² is 7.849, so the coefficient is 10.47 and:</w:t>
      </w:r>
    </w:p>
    <w:p>
      <w:pPr>
        <w:spacing w:after="130" w:before="130"/>
        <w:jc w:val="center"/>
      </w:pPr>
      <w:r>
        <w:rPr>
          <w:rFonts w:ascii="Consolas" w:cs="Consolas" w:eastAsia="Consolas" w:hAnsi="Consolas"/>
          <w:b/>
          <w:bCs/>
          <w:sz w:val="22"/>
          <w:szCs w:val="22"/>
        </w:rPr>
        <w:t xml:space="preserve">d  =  √( 10.47 / n )</w:t>
      </w:r>
    </w:p>
    <w:p>
      <w:pPr>
        <w:spacing w:after="120" w:line="276"/>
        <w:jc w:val="both"/>
      </w:pPr>
      <w:r>
        <w:rPr>
          <w:rFonts w:ascii="Calibri" w:cs="Calibri" w:eastAsia="Calibri" w:hAnsi="Calibri"/>
          <w:b w:val="false"/>
          <w:bCs w:val="false"/>
          <w:i w:val="false"/>
          <w:iCs w:val="false"/>
          <w:color w:val="000000"/>
          <w:sz w:val="21"/>
          <w:szCs w:val="21"/>
        </w:rPr>
        <w:t xml:space="preserve">At n = 212 this gives d = 0.222 standard deviations. Multiplying by the pilot’s measured residual variation of 0.089 NDVI units gives a detectable difference of about 0.020 NDVI units.</w:t>
      </w:r>
    </w:p>
    <w:p>
      <w:pPr>
        <w:spacing w:after="60"/>
      </w:pPr>
    </w:p>
    <w:p>
      <w:pPr>
        <w:spacing w:after="130" w:before="130"/>
        <w:jc w:val="center"/>
      </w:pPr>
      <w:r>
        <w:rPr>
          <w:rFonts w:ascii="Consolas" w:cs="Consolas" w:eastAsia="Consolas" w:hAnsi="Consolas"/>
          <w:b/>
          <w:bCs/>
          <w:sz w:val="22"/>
          <w:szCs w:val="22"/>
        </w:rPr>
        <w:t xml:space="preserve">Observable effect after dilution  =  local effect  ×  min( 1 , intervention area / zone area )</w:t>
      </w:r>
    </w:p>
    <w:p>
      <w:pPr>
        <w:spacing w:after="130" w:before="0"/>
        <w:jc w:val="center"/>
      </w:pPr>
      <w:r>
        <w:rPr>
          <w:rFonts w:ascii="Calibri" w:cs="Calibri" w:eastAsia="Calibri" w:hAnsi="Calibri"/>
          <w:i/>
          <w:iCs/>
          <w:color w:val="595959"/>
          <w:sz w:val="17"/>
          <w:szCs w:val="17"/>
        </w:rPr>
        <w:t xml:space="preserve">this is the formula that diagnosed the discontinued study</w:t>
      </w:r>
    </w:p>
    <w:p>
      <w:r>
        <w:br w:type="page"/>
      </w:r>
    </w:p>
    <w:p>
      <w:pPr>
        <w:pStyle w:val="Heading1"/>
        <w:pBdr>
          <w:bottom w:val="single" w:color="1F3864" w:sz="12" w:space="6"/>
        </w:pBdr>
        <w:spacing w:after="200" w:before="400"/>
      </w:pPr>
      <w:r>
        <w:rPr>
          <w:rFonts w:ascii="Calibri" w:cs="Calibri" w:eastAsia="Calibri" w:hAnsi="Calibri"/>
          <w:b/>
          <w:bCs/>
          <w:color w:val="1F3864"/>
          <w:sz w:val="32"/>
          <w:szCs w:val="32"/>
        </w:rPr>
        <w:t xml:space="preserve">Appendix C  ·  Glossary</w:t>
      </w:r>
    </w:p>
    <w:tbl>
      <w:tblPr>
        <w:tblW w:type="dxa" w:w="9020"/>
        <w:tblBorders>
          <w:top w:val="single" w:color="BFBFBF" w:sz="2"/>
          <w:left w:val="single" w:color="BFBFBF" w:sz="2"/>
          <w:bottom w:val="single" w:color="BFBFBF" w:sz="2"/>
          <w:right w:val="single" w:color="BFBFBF" w:sz="2"/>
          <w:insideH w:val="single" w:color="BFBFBF" w:sz="2"/>
          <w:insideV w:val="single" w:color="BFBFBF" w:sz="2"/>
        </w:tblBorders>
      </w:tblPr>
      <w:tblGrid>
        <w:gridCol w:w="2200"/>
        <w:gridCol w:w="6820"/>
      </w:tblGrid>
      <w:tr>
        <w:trPr>
          <w:tblHeader/>
        </w:trPr>
        <w:tc>
          <w:tcPr>
            <w:tcW w:type="dxa" w:w="220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Term</w:t>
            </w:r>
          </w:p>
        </w:tc>
        <w:tc>
          <w:tcPr>
            <w:tcW w:type="dxa" w:w="6820"/>
            <w:shd w:fill="1F3864" w:color="auto" w:val="clear"/>
            <w:tcMar>
              <w:top w:type="dxa" w:w="70"/>
              <w:left w:type="dxa" w:w="90"/>
              <w:bottom w:type="dxa" w:w="70"/>
              <w:right w:type="dxa" w:w="90"/>
            </w:tcMar>
          </w:tcPr>
          <w:p>
            <w:pPr>
              <w:spacing w:after="0" w:line="250"/>
            </w:pPr>
            <w:r>
              <w:rPr>
                <w:rFonts w:ascii="Calibri" w:cs="Calibri" w:eastAsia="Calibri" w:hAnsi="Calibri"/>
                <w:b/>
                <w:bCs/>
                <w:color w:val="FFFFFF"/>
                <w:sz w:val="19"/>
                <w:szCs w:val="19"/>
              </w:rPr>
              <w:t xml:space="preserve">Meaning in this study</w:t>
            </w:r>
          </w:p>
        </w:tc>
      </w:tr>
      <w:tr>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Settlement</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One of the 212 intentional sustainable communities.</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Control</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conventional village matched to a settlement. Three per settlement, normally 5 to 50 km away.</w:t>
            </w:r>
          </w:p>
        </w:tc>
      </w:tr>
      <w:tr>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Distance ladder</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ordered fallback used when three qualifying controls do not exist within 50 km: extend to 50–100 km taking the closest, then accept two nearby controls, then best-available with a flagged breach, and never drop the settlement. Stage 2.</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Quartet</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One settlement plus its three controls. The unit at which fixed effects and clustering are applied.</w:t>
            </w:r>
          </w:p>
        </w:tc>
      </w:tr>
      <w:tr>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Reference site</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natural, semi-urban or productive location used to establish what is ATTAINABLE in an environment. Never compared directly with a settlement, except for the held-out semi-urban subset in A7.</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Primary zone</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150 m radius circle around a site centre over which the primary outcomes are measured. 7.07 hectares.</w:t>
            </w:r>
          </w:p>
        </w:tc>
      </w:tr>
      <w:tr>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Ring</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One of five annuli — 0–50, 50–100, 100–150, 150–250, 250–500 m — used for the radial gradient.</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Buffer zone</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250 m circle used only as input to the three moving-window metrics, so a window centred at the edge of the common 150 m circle is complete even at the largest window radius of 100 m. Never enters a reported statistic.</w:t>
            </w:r>
          </w:p>
        </w:tc>
      </w:tr>
      <w:tr>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Onset</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year deliberate ecological intervention began. NOT the founding year.</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Vegetation year</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twelve-month analysis window, defined per site by hemisphere and rainfall.</w:t>
            </w:r>
          </w:p>
        </w:tc>
      </w:tr>
      <w:tr>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Rescaling</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Expressing a raw metric as a position between local anchors, giving a 0–1 score comparable across climates.</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Stratum</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Climate group × biome × terrain class — the environment within which a reference level is meaningful.</w:t>
            </w:r>
          </w:p>
        </w:tc>
      </w:tr>
      <w:tr>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Pooling rung</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How far a stratum had to be coarsened to find enough reference sites. Rung 0 is the full stratum; rung 4 means no defensible reference exists.</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Condition form</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metric computed over vegetated pixels only, with built-up masked. VCI uses this.</w:t>
            </w:r>
          </w:p>
        </w:tc>
      </w:tr>
      <w:tr>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Composition form</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Land-cover fractions over the full zone, unmasked. LCC and PCI use this.</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Detectable difference</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smallest true difference this design could reliably find. Reported with every null result.</w:t>
            </w:r>
          </w:p>
        </w:tc>
      </w:tr>
      <w:tr>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Management-diagnostic (M-class)</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metric reflecting decisions that could not have been inherited with the land.</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Endowment-dominated (E-class)</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metric determined largely by where the site is.</w:t>
            </w:r>
          </w:p>
        </w:tc>
      </w:tr>
      <w:tr>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Flag</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diagnostic saying HOW a condition is maintained. Reported beside the index, never inside it.</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Equivalence test</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test of whether a difference is smaller than a declared margin. Used for H2, because "not lower" cannot be established by failing to find a difference.</w:t>
            </w:r>
          </w:p>
        </w:tc>
      </w:tr>
      <w:tr>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Placebo test</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full analysis run where the answer should be nothing. If it returns something, the machinery is at fault.</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Difference-in-differences (DiD)</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Comparing the CHANGE at treated sites against the CHANGE at control sites over the same period. Everything fixed about a site cancels, so site selection cannot produce the estimate. Used in analysis A8.</w:t>
            </w:r>
          </w:p>
        </w:tc>
      </w:tr>
      <w:tr>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Longitudinal cohort</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~65 core communities with onset in 2020 or 2021, plus their controls and any 2019-onset extension sites. A separate sample from the 212, analysed only in A8.</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Parallel trends</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assumption that treated and control sites would have followed the same path in the absence of the intervention. In this study it is TESTED, using the three pre-onset years, rather than assumed.</w:t>
            </w:r>
          </w:p>
        </w:tc>
      </w:tr>
      <w:tr>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Event study</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plot of the treated–control difference at each period before and after onset. Figure F6a. A flat line before onset and a rise after it is the strongest result the study can produce.</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E-value</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minimum strength an unmeasured confounder would need, with both exposure and outcome, to explain a result away. Sensitivity check SC11.</w:t>
            </w:r>
          </w:p>
        </w:tc>
      </w:tr>
      <w:tr>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DAG (causal diagram)</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picture of what causes what. Justifies the covariate list and — more importantly — identifies the variables that must NOT be adjusted for because they lie on the causal path. Figure F0.</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Love plot</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Standardised mean differences for every covariate, before and after matching, on one axis. Figure F2a.</w:t>
            </w:r>
          </w:p>
        </w:tc>
      </w:tr>
      <w:tr>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Match-quality tier</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Tier 1 close, Tier 2 adequate, Tier 3 best-available. Every quartet carries one, so match quality can be reported and tested rather than assumed.</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Hold-out validation</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Splitting the known-answer landscapes 70/30, developing the index on the 70 and testing it once on the 30. Removes "you tuned the index to its own test" as an objection.</w:t>
            </w:r>
          </w:p>
        </w:tc>
      </w:tr>
      <w:tr>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Endogenous index</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An index whose scale is partly defined by the things being measured against it. Bounded by sensitivity check SC12.</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Event time</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Calendar year minus a community’s own onset year. τ = −1 is the year before onset at every site regardless of when that was. Used so that communities with different onset years can be compared on the same footing.</w:t>
            </w:r>
          </w:p>
        </w:tc>
      </w:tr>
      <w:tr>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Balanced window</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range of event times every cohort member has data for. For onset 2020–2021 inside 2017–2025 that is τ −3 to +4: three pre-onset years and four post-onset years.</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Shrinkage estimation</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Blending each community’s own measured value with the sample mean, weighted by how precisely that community was measured. Prevents 212 noisy per-site estimates from being read as 212 findings.</w:t>
            </w:r>
          </w:p>
        </w:tc>
      </w:tr>
      <w:tr>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Typology</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Classifying each community by KIND — direction, maintenance mode, dominant dimension — rather than by rank. Far more reliable at site level than a ranking. §6.8.</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Size class</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Which of the five reference-circle sizes a site is matched to, chosen as whichever is closest in AREA to its polygon. Since v3.6 it no longer sets the measurement area — the polygon does.</w:t>
            </w:r>
          </w:p>
        </w:tc>
      </w:tr>
      <w:tr>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Polygon area</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area enclosed by the drawn polygon. Picks the reference circle, and is the predictor in analysis A9.</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Documentary managed area</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worked area as stated in published sources. The CORROBORATING route to the size class. Frequently reports the total holding instead, which the visual trace exposes.</w:t>
            </w:r>
          </w:p>
        </w:tc>
      </w:tr>
      <w:tr>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Size-class confidence</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 drawn and stated area agree within 30% · B = no stated figure, or they differ by 30 to 100% · C = they differ by more than a factor of two. The polygon stands in every case; the tier records how well corroborated it is.</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Polygon</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hand-drawn outline of the land a community works. THE PRIMARY MEASUREMENT AREA since v3.6. Drawn once per settlement and translated onto its three controls.</w:t>
            </w:r>
          </w:p>
        </w:tc>
      </w:tr>
      <w:tr>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Translated polygon</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settlement’s polygon slid so its centre sits on a control village — same size, same shape, no rotation. What every control is measured over.</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Redraw overlap</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Shared area divided by combined area, between a first and second drawing of the same site. The reliability statistic for the polygon (T8c).</w:t>
            </w:r>
          </w:p>
        </w:tc>
      </w:tr>
      <w:tr>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Size-matched circle</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primary measurement circle of versions 3.4 and 3.5, now used only in sensitivity check SC1 as the alternative to the polygon.</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Common zone</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150 m circle extracted at EVERY site regardless of class. Carries analysis A9, supplies the configuration dimension for small-class sites, and is the alternative specification in SC1.</w:t>
            </w:r>
          </w:p>
        </w:tc>
      </w:tr>
      <w:tr>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Dilution null</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The size relationship expected when management quality is identical at every scale — the local effect multiplied by min(1, A / 7.07 ha). What A9 tests against, and what makes it a real test.</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Moving window</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circle of fixed radius slid across the image pixel by pixel. At each pixel the metric is computed from that pixel’s neighbours, then the results are averaged over the measurement area. The configuration metrics measure how much neighbours DIFFER, so the window preserves fine detail rather than averaging it away.</w:t>
            </w:r>
          </w:p>
        </w:tc>
      </w:tr>
      <w:tr>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Multi-scale check</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SC17. Recomputing the configuration metrics at 40, 70 and 100 m window radius to test whether the detected pattern depends on the scale looked at.</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Contour alignment (CA)</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How closely land-cover boundaries follow the terrain contour. A supplementary metric OUTSIDE the index, used only in SC15 and for the PC02 claim-signature comparison. Null on flat ground.</w:t>
            </w:r>
          </w:p>
        </w:tc>
      </w:tr>
      <w:tr>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Field-scale versus element-scale</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What the study can and cannot resolve. A food forest block or bed system spans several pixels and is visible; a hedgerow, swale, herb spiral or keyhole bed is sub-pixel and is not. Stated in §3.3 and as limitation 1 in §10.3.</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Drought year</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window year whose rainfall falls below the 15th percentile of that site’s own twenty-year climatology. The driest of seven years is NOT automatically a drought.</w:t>
            </w:r>
          </w:p>
        </w:tc>
      </w:tr>
      <w:tr>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Drought-year interaction test</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SC14. Whether the settlement advantage widens in a drought year, reported separately for water-subsidised and unsubsidised settlements. A mechanism test rather than a stability check.</w:t>
            </w:r>
          </w:p>
        </w:tc>
      </w:tr>
      <w:tr>
        <w:tc>
          <w:tcPr>
            <w:tcW w:type="dxa" w:w="220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Mechanism test</w:t>
            </w:r>
          </w:p>
        </w:tc>
        <w:tc>
          <w:tcPr>
            <w:tcW w:type="dxa" w:w="6820"/>
            <w:shd w:fill="F2F5FA" w:color="auto" w:val="clear"/>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A check with a DIRECTIONAL prediction, where different explanations predict different results. SC7 and SC14 are the two in this plan. Read differently from a sensitivity check: one that changes nothing is informative about the mechanism, not merely reassuring.</w:t>
            </w:r>
          </w:p>
        </w:tc>
      </w:tr>
      <w:tr>
        <w:tc>
          <w:tcPr>
            <w:tcW w:type="dxa" w:w="220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Space-for-time substitution</w:t>
            </w:r>
          </w:p>
        </w:tc>
        <w:tc>
          <w:tcPr>
            <w:tcW w:type="dxa" w:w="6820"/>
            <w:tcMar>
              <w:top w:type="dxa" w:w="70"/>
              <w:left w:type="dxa" w:w="90"/>
              <w:bottom w:type="dxa" w:w="70"/>
              <w:right w:type="dxa" w:w="90"/>
            </w:tcMar>
          </w:tcPr>
          <w:p>
            <w:pPr>
              <w:spacing w:after="0" w:line="250"/>
            </w:pPr>
            <w:r>
              <w:rPr>
                <w:rFonts w:ascii="Calibri" w:cs="Calibri" w:eastAsia="Calibri" w:hAnsi="Calibri"/>
                <w:b w:val="false"/>
                <w:bCs w:val="false"/>
                <w:color w:val="000000"/>
                <w:sz w:val="19"/>
                <w:szCs w:val="19"/>
              </w:rPr>
              <w:t xml:space="preserve">Inferring how something develops over time by comparing things of different ages at one moment. What analysis A4 does, and its assumptions are only partly met.</w:t>
            </w:r>
          </w:p>
        </w:tc>
      </w:tr>
    </w:tbl>
    <w:p>
      <w:pPr>
        <w:spacing w:after="200"/>
      </w:pPr>
    </w:p>
    <w:p>
      <w:pPr>
        <w:spacing w:before="240"/>
        <w:jc w:val="center"/>
      </w:pPr>
      <w:r>
        <w:rPr>
          <w:rFonts w:ascii="Calibri" w:cs="Calibri" w:eastAsia="Calibri" w:hAnsi="Calibri"/>
          <w:i/>
          <w:iCs/>
          <w:color w:val="7F7F7F"/>
          <w:sz w:val="21"/>
          <w:szCs w:val="21"/>
        </w:rPr>
        <w:t xml:space="preserve">End of the Implementation Plan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808080"/>
        <w:sz w:val="16"/>
        <w:szCs w:val="16"/>
      </w:rPr>
      <w:t xml:space="preserve">The Simplified Plan · Implementation Plan v3.8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00" w:hanging="24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Simplified Plan v3.8</dc:title>
  <dc:creator>Ramin</dc:creator>
  <cp:lastModifiedBy>Un-named</cp:lastModifiedBy>
  <cp:revision>1</cp:revision>
  <dcterms:created xsi:type="dcterms:W3CDTF">2026-08-24T01:15:02.039Z</dcterms:created>
  <dcterms:modified xsi:type="dcterms:W3CDTF">2026-08-24T01:15:02.064Z</dcterms:modified>
</cp:coreProperties>
</file>

<file path=docProps/custom.xml><?xml version="1.0" encoding="utf-8"?>
<Properties xmlns="http://schemas.openxmlformats.org/officeDocument/2006/custom-properties" xmlns:vt="http://schemas.openxmlformats.org/officeDocument/2006/docPropsVTypes"/>
</file>