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1742" w14:textId="77777777" w:rsidR="00050071" w:rsidRDefault="006D2835">
      <w:pPr>
        <w:spacing w:after="40"/>
      </w:pPr>
      <w:r>
        <w:rPr>
          <w:rFonts w:ascii="Calibri" w:eastAsia="Calibri" w:hAnsi="Calibri" w:cs="Calibri"/>
          <w:b/>
          <w:bCs/>
          <w:sz w:val="32"/>
          <w:szCs w:val="32"/>
        </w:rPr>
        <w:t>Assignment 2: The Cost of Being Wrong</w:t>
      </w:r>
    </w:p>
    <w:p w14:paraId="3957471F" w14:textId="5A906EB3" w:rsidR="00050071" w:rsidRDefault="006D2835">
      <w:pPr>
        <w:spacing w:after="200"/>
      </w:pPr>
      <w:r>
        <w:rPr>
          <w:rFonts w:ascii="Calibri" w:eastAsia="Calibri" w:hAnsi="Calibri" w:cs="Calibri"/>
          <w:i/>
          <w:iCs/>
        </w:rPr>
        <w:t xml:space="preserve">DSA 8401 MSc Data Science and Analytics. </w:t>
      </w:r>
      <w:r w:rsidR="00B460B4">
        <w:rPr>
          <w:rFonts w:ascii="Calibri" w:eastAsia="Calibri" w:hAnsi="Calibri" w:cs="Calibri"/>
          <w:i/>
          <w:iCs/>
        </w:rPr>
        <w:br/>
        <w:t xml:space="preserve">Njogu, Sharon </w:t>
      </w:r>
      <w:r>
        <w:rPr>
          <w:rFonts w:ascii="Calibri" w:eastAsia="Calibri" w:hAnsi="Calibri" w:cs="Calibri"/>
          <w:i/>
          <w:iCs/>
        </w:rPr>
        <w:t>Wanjiru</w:t>
      </w:r>
      <w:r w:rsidR="00B460B4">
        <w:rPr>
          <w:rFonts w:ascii="Calibri" w:eastAsia="Calibri" w:hAnsi="Calibri" w:cs="Calibri"/>
          <w:i/>
          <w:iCs/>
        </w:rPr>
        <w:br/>
        <w:t>Admission Number:</w:t>
      </w:r>
      <w:r>
        <w:rPr>
          <w:rFonts w:ascii="Calibri" w:eastAsia="Calibri" w:hAnsi="Calibri" w:cs="Calibri"/>
          <w:i/>
          <w:iCs/>
        </w:rPr>
        <w:t xml:space="preserve"> 103511.</w:t>
      </w:r>
    </w:p>
    <w:p w14:paraId="64504BBF" w14:textId="77777777" w:rsidR="00050071" w:rsidRDefault="006D2835">
      <w:pPr>
        <w:pStyle w:val="Heading1"/>
        <w:spacing w:before="160" w:after="80"/>
      </w:pPr>
      <w:r>
        <w:t>1. Evaluation plan</w:t>
      </w:r>
    </w:p>
    <w:p w14:paraId="7776D645" w14:textId="36A5761B" w:rsidR="00050071" w:rsidRDefault="006D2835">
      <w:pPr>
        <w:spacing w:after="90"/>
      </w:pPr>
      <w:r>
        <w:rPr>
          <w:rFonts w:ascii="Calibri" w:eastAsia="Calibri" w:hAnsi="Calibri" w:cs="Calibri"/>
          <w:sz w:val="21"/>
          <w:szCs w:val="21"/>
        </w:rPr>
        <w:t xml:space="preserve">The dataset is the honest, 17-feature mobile-money table from Assignment 1 (180,000 transactions, 3,991 customers,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spanning Feb 2025 to Jul 2026). </w:t>
      </w:r>
      <w:proofErr w:type="spellStart"/>
      <w:r w:rsidR="00477E2D">
        <w:rPr>
          <w:rFonts w:ascii="Calibri" w:eastAsia="Calibri" w:hAnsi="Calibri" w:cs="Calibri"/>
          <w:sz w:val="21"/>
          <w:szCs w:val="21"/>
        </w:rPr>
        <w:t>I</w:t>
      </w:r>
      <w:r>
        <w:rPr>
          <w:rFonts w:ascii="Calibri" w:eastAsia="Calibri" w:hAnsi="Calibri" w:cs="Calibri"/>
          <w:sz w:val="21"/>
          <w:szCs w:val="21"/>
        </w:rPr>
        <w:t>s</w:t>
      </w:r>
      <w:r w:rsidR="00477E2D">
        <w:rPr>
          <w:rFonts w:ascii="Calibri" w:eastAsia="Calibri" w:hAnsi="Calibri" w:cs="Calibri"/>
          <w:sz w:val="21"/>
          <w:szCs w:val="21"/>
        </w:rPr>
        <w:t>_</w:t>
      </w:r>
      <w:r>
        <w:rPr>
          <w:rFonts w:ascii="Calibri" w:eastAsia="Calibri" w:hAnsi="Calibri" w:cs="Calibri"/>
          <w:sz w:val="21"/>
          <w:szCs w:val="21"/>
        </w:rPr>
        <w:t>fraud</w:t>
      </w:r>
      <w:proofErr w:type="spellEnd"/>
      <w:r>
        <w:rPr>
          <w:rFonts w:ascii="Calibri" w:eastAsia="Calibri" w:hAnsi="Calibri" w:cs="Calibri"/>
          <w:sz w:val="21"/>
          <w:szCs w:val="21"/>
        </w:rPr>
        <w:t xml:space="preserve"> is treated as the adverse outcome, the analogue of a loan default, at a base rate of 8.4%, imbalanced enough that PR-AUC and a cost-based cut-off matter far more than accuracy or the default 0.5 threshold. ROC-AUC is diluted by the large negative class: a model can look strong on ROC-AUC while its ranked list of flagged cases is still mostly wrong, because false positives barely move the false positive rate against 92% negatives. PR-AUC tracks precision against the minority class directly, so it does </w:t>
      </w:r>
      <w:r>
        <w:rPr>
          <w:rFonts w:ascii="Calibri" w:eastAsia="Calibri" w:hAnsi="Calibri" w:cs="Calibri"/>
          <w:sz w:val="21"/>
          <w:szCs w:val="21"/>
        </w:rPr>
        <w:t>not get that free credit.</w:t>
      </w:r>
    </w:p>
    <w:p w14:paraId="250706E2" w14:textId="77777777" w:rsidR="00050071" w:rsidRDefault="006D2835">
      <w:pPr>
        <w:spacing w:after="90"/>
      </w:pPr>
      <w:r>
        <w:rPr>
          <w:rFonts w:ascii="Calibri" w:eastAsia="Calibri" w:hAnsi="Calibri" w:cs="Calibri"/>
          <w:sz w:val="21"/>
          <w:szCs w:val="21"/>
        </w:rPr>
        <w:t xml:space="preserve">Rows are sorted by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and split into 5 expanding-window, purged and blocked folds (35% initial train, walking forward), with a 3-day embargo dropped from the end of train immediately before each test block. A full customer purge (dropping every training row for any customer who also appears in the test block) was tested and removes over 99% of the training data, because customers transact throughout the whole 18-month window. This is a structural property of Assignment 1's RFM features: they are computed once per customer ove</w:t>
      </w:r>
      <w:r>
        <w:rPr>
          <w:rFonts w:ascii="Calibri" w:eastAsia="Calibri" w:hAnsi="Calibri" w:cs="Calibri"/>
          <w:sz w:val="21"/>
          <w:szCs w:val="21"/>
        </w:rPr>
        <w:t>r that customer's entire pre-scoring history, so an early transaction already carries information from as late as mid-2026. Since Assignment 1's features are used unchanged, the evaluation uses time-blocking with an embargo rather than a full group purge, and the measured customer overlap between train and test (99.5 to 99.9% across the 5 folds) is reported rather than hidden. This is disclosed as a limitation in Section 7.</w:t>
      </w:r>
    </w:p>
    <w:p w14:paraId="199FE2A5" w14:textId="77777777" w:rsidR="00050071" w:rsidRDefault="006D2835">
      <w:pPr>
        <w:pStyle w:val="Heading1"/>
        <w:spacing w:before="160" w:after="80"/>
      </w:pPr>
      <w:r>
        <w:t>2. Ensemble models</w:t>
      </w:r>
    </w:p>
    <w:p w14:paraId="25C6A5EA" w14:textId="77777777" w:rsidR="00050071" w:rsidRDefault="006D2835">
      <w:pPr>
        <w:spacing w:after="90"/>
      </w:pPr>
      <w:r>
        <w:rPr>
          <w:rFonts w:ascii="Calibri" w:eastAsia="Calibri" w:hAnsi="Calibri" w:cs="Calibri"/>
          <w:sz w:val="21"/>
          <w:szCs w:val="21"/>
        </w:rPr>
        <w:t xml:space="preserve">Three model families were trained on the identical 5 purged and blocked folds: </w:t>
      </w:r>
      <w:proofErr w:type="spellStart"/>
      <w:r>
        <w:rPr>
          <w:rFonts w:ascii="Calibri" w:eastAsia="Calibri" w:hAnsi="Calibri" w:cs="Calibri"/>
          <w:sz w:val="21"/>
          <w:szCs w:val="21"/>
        </w:rPr>
        <w:t>regularised</w:t>
      </w:r>
      <w:proofErr w:type="spellEnd"/>
      <w:r>
        <w:rPr>
          <w:rFonts w:ascii="Calibri" w:eastAsia="Calibri" w:hAnsi="Calibri" w:cs="Calibri"/>
          <w:sz w:val="21"/>
          <w:szCs w:val="21"/>
        </w:rPr>
        <w:t xml:space="preserve"> logistic regression, a random forest, and gradient-boosted trees (</w:t>
      </w:r>
      <w:proofErr w:type="spellStart"/>
      <w:r>
        <w:rPr>
          <w:rFonts w:ascii="Calibri" w:eastAsia="Calibri" w:hAnsi="Calibri" w:cs="Calibri"/>
          <w:sz w:val="21"/>
          <w:szCs w:val="21"/>
        </w:rPr>
        <w:t>XGBoost</w:t>
      </w:r>
      <w:proofErr w:type="spellEnd"/>
      <w:r>
        <w:rPr>
          <w:rFonts w:ascii="Calibri" w:eastAsia="Calibri" w:hAnsi="Calibri" w:cs="Calibri"/>
          <w:sz w:val="21"/>
          <w:szCs w:val="21"/>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1900"/>
        <w:gridCol w:w="2100"/>
      </w:tblGrid>
      <w:tr w:rsidR="00050071" w14:paraId="71E85CFA" w14:textId="77777777">
        <w:tblPrEx>
          <w:tblCellMar>
            <w:top w:w="0" w:type="dxa"/>
            <w:bottom w:w="0" w:type="dxa"/>
          </w:tblCellMar>
        </w:tblPrEx>
        <w:tc>
          <w:tcPr>
            <w:tcW w:w="3000" w:type="dxa"/>
            <w:shd w:val="clear" w:color="auto" w:fill="D9E2F3"/>
          </w:tcPr>
          <w:p w14:paraId="50D7D0E8" w14:textId="77777777" w:rsidR="00050071" w:rsidRDefault="006D2835">
            <w:r>
              <w:rPr>
                <w:rFonts w:ascii="Calibri" w:eastAsia="Calibri" w:hAnsi="Calibri" w:cs="Calibri"/>
                <w:b/>
                <w:bCs/>
                <w:sz w:val="19"/>
                <w:szCs w:val="19"/>
              </w:rPr>
              <w:t>Model</w:t>
            </w:r>
          </w:p>
        </w:tc>
        <w:tc>
          <w:tcPr>
            <w:tcW w:w="1900" w:type="dxa"/>
            <w:shd w:val="clear" w:color="auto" w:fill="D9E2F3"/>
          </w:tcPr>
          <w:p w14:paraId="02763864" w14:textId="77777777" w:rsidR="00050071" w:rsidRDefault="006D2835">
            <w:r>
              <w:rPr>
                <w:rFonts w:ascii="Calibri" w:eastAsia="Calibri" w:hAnsi="Calibri" w:cs="Calibri"/>
                <w:b/>
                <w:bCs/>
                <w:sz w:val="19"/>
                <w:szCs w:val="19"/>
              </w:rPr>
              <w:t>PR-AUC (mean)</w:t>
            </w:r>
          </w:p>
        </w:tc>
        <w:tc>
          <w:tcPr>
            <w:tcW w:w="1900" w:type="dxa"/>
            <w:shd w:val="clear" w:color="auto" w:fill="D9E2F3"/>
          </w:tcPr>
          <w:p w14:paraId="0C5DFB38" w14:textId="77777777" w:rsidR="00050071" w:rsidRDefault="006D2835">
            <w:r>
              <w:rPr>
                <w:rFonts w:ascii="Calibri" w:eastAsia="Calibri" w:hAnsi="Calibri" w:cs="Calibri"/>
                <w:b/>
                <w:bCs/>
                <w:sz w:val="19"/>
                <w:szCs w:val="19"/>
              </w:rPr>
              <w:t>PR-AUC (std)</w:t>
            </w:r>
          </w:p>
        </w:tc>
        <w:tc>
          <w:tcPr>
            <w:tcW w:w="2100" w:type="dxa"/>
            <w:shd w:val="clear" w:color="auto" w:fill="D9E2F3"/>
          </w:tcPr>
          <w:p w14:paraId="0C7B513E" w14:textId="77777777" w:rsidR="00050071" w:rsidRDefault="006D2835">
            <w:r>
              <w:rPr>
                <w:rFonts w:ascii="Calibri" w:eastAsia="Calibri" w:hAnsi="Calibri" w:cs="Calibri"/>
                <w:b/>
                <w:bCs/>
                <w:sz w:val="19"/>
                <w:szCs w:val="19"/>
              </w:rPr>
              <w:t>ROC-AUC (mean)</w:t>
            </w:r>
          </w:p>
        </w:tc>
      </w:tr>
      <w:tr w:rsidR="00050071" w14:paraId="6D0B500D" w14:textId="77777777">
        <w:tblPrEx>
          <w:tblCellMar>
            <w:top w:w="0" w:type="dxa"/>
            <w:bottom w:w="0" w:type="dxa"/>
          </w:tblCellMar>
        </w:tblPrEx>
        <w:tc>
          <w:tcPr>
            <w:tcW w:w="3000" w:type="dxa"/>
          </w:tcPr>
          <w:p w14:paraId="7A43CCDE" w14:textId="77777777" w:rsidR="00050071" w:rsidRDefault="006D2835">
            <w:r>
              <w:rPr>
                <w:rFonts w:ascii="Calibri" w:eastAsia="Calibri" w:hAnsi="Calibri" w:cs="Calibri"/>
                <w:sz w:val="19"/>
                <w:szCs w:val="19"/>
              </w:rPr>
              <w:t>Logistic regression (balanced)</w:t>
            </w:r>
          </w:p>
        </w:tc>
        <w:tc>
          <w:tcPr>
            <w:tcW w:w="1900" w:type="dxa"/>
          </w:tcPr>
          <w:p w14:paraId="16176919" w14:textId="77777777" w:rsidR="00050071" w:rsidRDefault="006D2835">
            <w:r>
              <w:rPr>
                <w:rFonts w:ascii="Calibri" w:eastAsia="Calibri" w:hAnsi="Calibri" w:cs="Calibri"/>
                <w:sz w:val="19"/>
                <w:szCs w:val="19"/>
              </w:rPr>
              <w:t>0.1351</w:t>
            </w:r>
          </w:p>
        </w:tc>
        <w:tc>
          <w:tcPr>
            <w:tcW w:w="1900" w:type="dxa"/>
          </w:tcPr>
          <w:p w14:paraId="1B278EB8" w14:textId="77777777" w:rsidR="00050071" w:rsidRDefault="006D2835">
            <w:r>
              <w:rPr>
                <w:rFonts w:ascii="Calibri" w:eastAsia="Calibri" w:hAnsi="Calibri" w:cs="Calibri"/>
                <w:sz w:val="19"/>
                <w:szCs w:val="19"/>
              </w:rPr>
              <w:t>0.0027</w:t>
            </w:r>
          </w:p>
        </w:tc>
        <w:tc>
          <w:tcPr>
            <w:tcW w:w="2100" w:type="dxa"/>
          </w:tcPr>
          <w:p w14:paraId="579AE9E1" w14:textId="77777777" w:rsidR="00050071" w:rsidRDefault="006D2835">
            <w:r>
              <w:rPr>
                <w:rFonts w:ascii="Calibri" w:eastAsia="Calibri" w:hAnsi="Calibri" w:cs="Calibri"/>
                <w:sz w:val="19"/>
                <w:szCs w:val="19"/>
              </w:rPr>
              <w:t>0.6254</w:t>
            </w:r>
          </w:p>
        </w:tc>
      </w:tr>
      <w:tr w:rsidR="00050071" w14:paraId="67D3A89D" w14:textId="77777777">
        <w:tblPrEx>
          <w:tblCellMar>
            <w:top w:w="0" w:type="dxa"/>
            <w:bottom w:w="0" w:type="dxa"/>
          </w:tblCellMar>
        </w:tblPrEx>
        <w:tc>
          <w:tcPr>
            <w:tcW w:w="3000" w:type="dxa"/>
          </w:tcPr>
          <w:p w14:paraId="660AF177" w14:textId="77777777" w:rsidR="00050071" w:rsidRDefault="006D2835">
            <w:r>
              <w:rPr>
                <w:rFonts w:ascii="Calibri" w:eastAsia="Calibri" w:hAnsi="Calibri" w:cs="Calibri"/>
                <w:sz w:val="19"/>
                <w:szCs w:val="19"/>
              </w:rPr>
              <w:t>Random forest</w:t>
            </w:r>
          </w:p>
        </w:tc>
        <w:tc>
          <w:tcPr>
            <w:tcW w:w="1900" w:type="dxa"/>
          </w:tcPr>
          <w:p w14:paraId="4CDE4E0D" w14:textId="77777777" w:rsidR="00050071" w:rsidRDefault="006D2835">
            <w:r>
              <w:rPr>
                <w:rFonts w:ascii="Calibri" w:eastAsia="Calibri" w:hAnsi="Calibri" w:cs="Calibri"/>
                <w:sz w:val="19"/>
                <w:szCs w:val="19"/>
              </w:rPr>
              <w:t>0.1393</w:t>
            </w:r>
          </w:p>
        </w:tc>
        <w:tc>
          <w:tcPr>
            <w:tcW w:w="1900" w:type="dxa"/>
          </w:tcPr>
          <w:p w14:paraId="0765312D" w14:textId="77777777" w:rsidR="00050071" w:rsidRDefault="006D2835">
            <w:r>
              <w:rPr>
                <w:rFonts w:ascii="Calibri" w:eastAsia="Calibri" w:hAnsi="Calibri" w:cs="Calibri"/>
                <w:sz w:val="19"/>
                <w:szCs w:val="19"/>
              </w:rPr>
              <w:t>0.0052</w:t>
            </w:r>
          </w:p>
        </w:tc>
        <w:tc>
          <w:tcPr>
            <w:tcW w:w="2100" w:type="dxa"/>
          </w:tcPr>
          <w:p w14:paraId="501C46C4" w14:textId="77777777" w:rsidR="00050071" w:rsidRDefault="006D2835">
            <w:r>
              <w:rPr>
                <w:rFonts w:ascii="Calibri" w:eastAsia="Calibri" w:hAnsi="Calibri" w:cs="Calibri"/>
                <w:sz w:val="19"/>
                <w:szCs w:val="19"/>
              </w:rPr>
              <w:t>0.6277</w:t>
            </w:r>
          </w:p>
        </w:tc>
      </w:tr>
      <w:tr w:rsidR="00050071" w14:paraId="2FD736BA" w14:textId="77777777">
        <w:tblPrEx>
          <w:tblCellMar>
            <w:top w:w="0" w:type="dxa"/>
            <w:bottom w:w="0" w:type="dxa"/>
          </w:tblCellMar>
        </w:tblPrEx>
        <w:tc>
          <w:tcPr>
            <w:tcW w:w="3000" w:type="dxa"/>
          </w:tcPr>
          <w:p w14:paraId="3DF87FF4" w14:textId="77777777" w:rsidR="00050071" w:rsidRDefault="006D2835">
            <w:proofErr w:type="spellStart"/>
            <w:r>
              <w:rPr>
                <w:rFonts w:ascii="Calibri" w:eastAsia="Calibri" w:hAnsi="Calibri" w:cs="Calibri"/>
                <w:sz w:val="19"/>
                <w:szCs w:val="19"/>
              </w:rPr>
              <w:t>XGBoost</w:t>
            </w:r>
            <w:proofErr w:type="spellEnd"/>
            <w:r>
              <w:rPr>
                <w:rFonts w:ascii="Calibri" w:eastAsia="Calibri" w:hAnsi="Calibri" w:cs="Calibri"/>
                <w:sz w:val="19"/>
                <w:szCs w:val="19"/>
              </w:rPr>
              <w:t xml:space="preserve"> (untuned)</w:t>
            </w:r>
          </w:p>
        </w:tc>
        <w:tc>
          <w:tcPr>
            <w:tcW w:w="1900" w:type="dxa"/>
          </w:tcPr>
          <w:p w14:paraId="01518338" w14:textId="77777777" w:rsidR="00050071" w:rsidRDefault="006D2835">
            <w:r>
              <w:rPr>
                <w:rFonts w:ascii="Calibri" w:eastAsia="Calibri" w:hAnsi="Calibri" w:cs="Calibri"/>
                <w:sz w:val="19"/>
                <w:szCs w:val="19"/>
              </w:rPr>
              <w:t>0.1357</w:t>
            </w:r>
          </w:p>
        </w:tc>
        <w:tc>
          <w:tcPr>
            <w:tcW w:w="1900" w:type="dxa"/>
          </w:tcPr>
          <w:p w14:paraId="2F23AB13" w14:textId="77777777" w:rsidR="00050071" w:rsidRDefault="006D2835">
            <w:r>
              <w:rPr>
                <w:rFonts w:ascii="Calibri" w:eastAsia="Calibri" w:hAnsi="Calibri" w:cs="Calibri"/>
                <w:sz w:val="19"/>
                <w:szCs w:val="19"/>
              </w:rPr>
              <w:t>0.0039</w:t>
            </w:r>
          </w:p>
        </w:tc>
        <w:tc>
          <w:tcPr>
            <w:tcW w:w="2100" w:type="dxa"/>
          </w:tcPr>
          <w:p w14:paraId="0666C66F" w14:textId="77777777" w:rsidR="00050071" w:rsidRDefault="006D2835">
            <w:r>
              <w:rPr>
                <w:rFonts w:ascii="Calibri" w:eastAsia="Calibri" w:hAnsi="Calibri" w:cs="Calibri"/>
                <w:sz w:val="19"/>
                <w:szCs w:val="19"/>
              </w:rPr>
              <w:t>0.6228</w:t>
            </w:r>
          </w:p>
        </w:tc>
      </w:tr>
    </w:tbl>
    <w:p w14:paraId="6E5B47B6" w14:textId="77777777" w:rsidR="00050071" w:rsidRDefault="00050071">
      <w:pPr>
        <w:spacing w:after="80"/>
      </w:pPr>
    </w:p>
    <w:p w14:paraId="3EDAF3E9" w14:textId="77777777" w:rsidR="00050071" w:rsidRDefault="006D2835">
      <w:pPr>
        <w:spacing w:after="90"/>
      </w:pPr>
      <w:r>
        <w:rPr>
          <w:rFonts w:ascii="Calibri" w:eastAsia="Calibri" w:hAnsi="Calibri" w:cs="Calibri"/>
          <w:sz w:val="21"/>
          <w:szCs w:val="21"/>
        </w:rPr>
        <w:t xml:space="preserve">Logistic regression has the highest bias and the lowest fold-to-fold variance, since a linear boundary on transformed features has no capacity to chase noise. Random forest lowers bias by averaging many decorrelated trees, and that averaging keeps its variance in check. Gradient boosting builds shallow trees sequentially to correct residual error, usually giving the lowest bias of the three, at the cost of being the most sensitive to hyperparameters; untuned, it lands close to the other two here. All three </w:t>
      </w:r>
      <w:r>
        <w:rPr>
          <w:rFonts w:ascii="Calibri" w:eastAsia="Calibri" w:hAnsi="Calibri" w:cs="Calibri"/>
          <w:sz w:val="21"/>
          <w:szCs w:val="21"/>
        </w:rPr>
        <w:t>sit in a narrow band because the honest feature set is only weakly predictive (best single-feature correlation about 0.07), a ceiling set by the data, consistent with Assignment 1's honest ROC-AUC of about 0.63.</w:t>
      </w:r>
    </w:p>
    <w:p w14:paraId="70CC0B55" w14:textId="77777777" w:rsidR="00050071" w:rsidRDefault="006D2835">
      <w:pPr>
        <w:spacing w:after="60"/>
        <w:jc w:val="center"/>
      </w:pPr>
      <w:r>
        <w:rPr>
          <w:noProof/>
        </w:rPr>
        <w:drawing>
          <wp:inline distT="0" distB="0" distL="0" distR="0" wp14:anchorId="09537BEA" wp14:editId="62C57940">
            <wp:extent cx="44767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1638300"/>
                    </a:xfrm>
                    <a:prstGeom prst="rect">
                      <a:avLst/>
                    </a:prstGeom>
                  </pic:spPr>
                </pic:pic>
              </a:graphicData>
            </a:graphic>
          </wp:inline>
        </w:drawing>
      </w:r>
    </w:p>
    <w:p w14:paraId="5EDBA5FA" w14:textId="77777777" w:rsidR="00050071" w:rsidRDefault="006D2835">
      <w:pPr>
        <w:spacing w:after="90"/>
      </w:pPr>
      <w:r>
        <w:rPr>
          <w:rFonts w:ascii="Calibri" w:eastAsia="Calibri" w:hAnsi="Calibri" w:cs="Calibri"/>
          <w:i/>
          <w:iCs/>
          <w:sz w:val="18"/>
          <w:szCs w:val="18"/>
        </w:rPr>
        <w:t>Figure 1. Out-of-fold PR curves and PR-AUC by model, with the base rate shown as a dashed line.</w:t>
      </w:r>
    </w:p>
    <w:p w14:paraId="2B7B4974" w14:textId="77777777" w:rsidR="00050071" w:rsidRDefault="006D2835">
      <w:pPr>
        <w:pStyle w:val="Heading1"/>
        <w:spacing w:before="160" w:after="80"/>
      </w:pPr>
      <w:r>
        <w:t>3. Cost-based decisions</w:t>
      </w:r>
    </w:p>
    <w:p w14:paraId="33BDB49E" w14:textId="77777777" w:rsidR="00050071" w:rsidRDefault="006D2835">
      <w:pPr>
        <w:spacing w:after="90"/>
      </w:pPr>
      <w:r>
        <w:rPr>
          <w:rFonts w:ascii="Calibri" w:eastAsia="Calibri" w:hAnsi="Calibri" w:cs="Calibri"/>
          <w:sz w:val="21"/>
          <w:szCs w:val="21"/>
        </w:rPr>
        <w:lastRenderedPageBreak/>
        <w:t xml:space="preserve">A missed default (false negative) costs KES 10,000; a wrongly rejected good borrower (false positive) costs KES 800. Sweeping the untuned </w:t>
      </w:r>
      <w:proofErr w:type="spellStart"/>
      <w:r>
        <w:rPr>
          <w:rFonts w:ascii="Calibri" w:eastAsia="Calibri" w:hAnsi="Calibri" w:cs="Calibri"/>
          <w:sz w:val="21"/>
          <w:szCs w:val="21"/>
        </w:rPr>
        <w:t>XGBoost</w:t>
      </w:r>
      <w:proofErr w:type="spellEnd"/>
      <w:r>
        <w:rPr>
          <w:rFonts w:ascii="Calibri" w:eastAsia="Calibri" w:hAnsi="Calibri" w:cs="Calibri"/>
          <w:sz w:val="21"/>
          <w:szCs w:val="21"/>
        </w:rPr>
        <w:t xml:space="preserve"> out-of-fold probabilities for the threshold that </w:t>
      </w:r>
      <w:proofErr w:type="spellStart"/>
      <w:r>
        <w:rPr>
          <w:rFonts w:ascii="Calibri" w:eastAsia="Calibri" w:hAnsi="Calibri" w:cs="Calibri"/>
          <w:sz w:val="21"/>
          <w:szCs w:val="21"/>
        </w:rPr>
        <w:t>minimises</w:t>
      </w:r>
      <w:proofErr w:type="spellEnd"/>
      <w:r>
        <w:rPr>
          <w:rFonts w:ascii="Calibri" w:eastAsia="Calibri" w:hAnsi="Calibri" w:cs="Calibri"/>
          <w:sz w:val="21"/>
          <w:szCs w:val="21"/>
        </w:rPr>
        <w:t xml:space="preserve"> total expected cost gives a cost-optimal threshold of 0.08, versus the naive 0.5 cut-off:</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1400"/>
        <w:gridCol w:w="1500"/>
      </w:tblGrid>
      <w:tr w:rsidR="00050071" w14:paraId="5970D1D0" w14:textId="77777777">
        <w:tblPrEx>
          <w:tblCellMar>
            <w:top w:w="0" w:type="dxa"/>
            <w:bottom w:w="0" w:type="dxa"/>
          </w:tblCellMar>
        </w:tblPrEx>
        <w:tc>
          <w:tcPr>
            <w:tcW w:w="3200" w:type="dxa"/>
            <w:shd w:val="clear" w:color="auto" w:fill="D9E2F3"/>
          </w:tcPr>
          <w:p w14:paraId="0FC6E433" w14:textId="77777777" w:rsidR="00050071" w:rsidRDefault="006D2835">
            <w:r>
              <w:rPr>
                <w:rFonts w:ascii="Calibri" w:eastAsia="Calibri" w:hAnsi="Calibri" w:cs="Calibri"/>
                <w:b/>
                <w:bCs/>
                <w:sz w:val="19"/>
                <w:szCs w:val="19"/>
              </w:rPr>
              <w:t>Threshold</w:t>
            </w:r>
          </w:p>
        </w:tc>
        <w:tc>
          <w:tcPr>
            <w:tcW w:w="2800" w:type="dxa"/>
            <w:shd w:val="clear" w:color="auto" w:fill="D9E2F3"/>
          </w:tcPr>
          <w:p w14:paraId="5C2D20FD" w14:textId="77777777" w:rsidR="00050071" w:rsidRDefault="006D2835">
            <w:r>
              <w:rPr>
                <w:rFonts w:ascii="Calibri" w:eastAsia="Calibri" w:hAnsi="Calibri" w:cs="Calibri"/>
                <w:b/>
                <w:bCs/>
                <w:sz w:val="19"/>
                <w:szCs w:val="19"/>
              </w:rPr>
              <w:t>Total cost (KES)</w:t>
            </w:r>
          </w:p>
        </w:tc>
        <w:tc>
          <w:tcPr>
            <w:tcW w:w="1400" w:type="dxa"/>
            <w:shd w:val="clear" w:color="auto" w:fill="D9E2F3"/>
          </w:tcPr>
          <w:p w14:paraId="4A57670C" w14:textId="77777777" w:rsidR="00050071" w:rsidRDefault="006D2835">
            <w:r>
              <w:rPr>
                <w:rFonts w:ascii="Calibri" w:eastAsia="Calibri" w:hAnsi="Calibri" w:cs="Calibri"/>
                <w:b/>
                <w:bCs/>
                <w:sz w:val="19"/>
                <w:szCs w:val="19"/>
              </w:rPr>
              <w:t>FN</w:t>
            </w:r>
          </w:p>
        </w:tc>
        <w:tc>
          <w:tcPr>
            <w:tcW w:w="1500" w:type="dxa"/>
            <w:shd w:val="clear" w:color="auto" w:fill="D9E2F3"/>
          </w:tcPr>
          <w:p w14:paraId="161908BC" w14:textId="77777777" w:rsidR="00050071" w:rsidRDefault="006D2835">
            <w:r>
              <w:rPr>
                <w:rFonts w:ascii="Calibri" w:eastAsia="Calibri" w:hAnsi="Calibri" w:cs="Calibri"/>
                <w:b/>
                <w:bCs/>
                <w:sz w:val="19"/>
                <w:szCs w:val="19"/>
              </w:rPr>
              <w:t>FP</w:t>
            </w:r>
          </w:p>
        </w:tc>
      </w:tr>
      <w:tr w:rsidR="00050071" w14:paraId="719B1483" w14:textId="77777777">
        <w:tblPrEx>
          <w:tblCellMar>
            <w:top w:w="0" w:type="dxa"/>
            <w:bottom w:w="0" w:type="dxa"/>
          </w:tblCellMar>
        </w:tblPrEx>
        <w:tc>
          <w:tcPr>
            <w:tcW w:w="3200" w:type="dxa"/>
          </w:tcPr>
          <w:p w14:paraId="582DF745" w14:textId="77777777" w:rsidR="00050071" w:rsidRDefault="006D2835">
            <w:r>
              <w:rPr>
                <w:rFonts w:ascii="Calibri" w:eastAsia="Calibri" w:hAnsi="Calibri" w:cs="Calibri"/>
                <w:sz w:val="19"/>
                <w:szCs w:val="19"/>
              </w:rPr>
              <w:t>0.08 (cost-optimal)</w:t>
            </w:r>
          </w:p>
        </w:tc>
        <w:tc>
          <w:tcPr>
            <w:tcW w:w="2800" w:type="dxa"/>
          </w:tcPr>
          <w:p w14:paraId="767402AE" w14:textId="77777777" w:rsidR="00050071" w:rsidRDefault="006D2835">
            <w:r>
              <w:rPr>
                <w:rFonts w:ascii="Calibri" w:eastAsia="Calibri" w:hAnsi="Calibri" w:cs="Calibri"/>
                <w:sz w:val="19"/>
                <w:szCs w:val="19"/>
              </w:rPr>
              <w:t>74,644,400</w:t>
            </w:r>
          </w:p>
        </w:tc>
        <w:tc>
          <w:tcPr>
            <w:tcW w:w="1400" w:type="dxa"/>
          </w:tcPr>
          <w:p w14:paraId="5B97CDA3" w14:textId="77777777" w:rsidR="00050071" w:rsidRDefault="006D2835">
            <w:r>
              <w:rPr>
                <w:rFonts w:ascii="Calibri" w:eastAsia="Calibri" w:hAnsi="Calibri" w:cs="Calibri"/>
                <w:sz w:val="19"/>
                <w:szCs w:val="19"/>
              </w:rPr>
              <w:t>-</w:t>
            </w:r>
          </w:p>
        </w:tc>
        <w:tc>
          <w:tcPr>
            <w:tcW w:w="1500" w:type="dxa"/>
          </w:tcPr>
          <w:p w14:paraId="69B8CCF0" w14:textId="77777777" w:rsidR="00050071" w:rsidRDefault="006D2835">
            <w:r>
              <w:rPr>
                <w:rFonts w:ascii="Calibri" w:eastAsia="Calibri" w:hAnsi="Calibri" w:cs="Calibri"/>
                <w:sz w:val="19"/>
                <w:szCs w:val="19"/>
              </w:rPr>
              <w:t>-</w:t>
            </w:r>
          </w:p>
        </w:tc>
      </w:tr>
      <w:tr w:rsidR="00050071" w14:paraId="3F6C9462" w14:textId="77777777">
        <w:tblPrEx>
          <w:tblCellMar>
            <w:top w:w="0" w:type="dxa"/>
            <w:bottom w:w="0" w:type="dxa"/>
          </w:tblCellMar>
        </w:tblPrEx>
        <w:tc>
          <w:tcPr>
            <w:tcW w:w="3200" w:type="dxa"/>
          </w:tcPr>
          <w:p w14:paraId="656ED30F" w14:textId="77777777" w:rsidR="00050071" w:rsidRDefault="006D2835">
            <w:r>
              <w:rPr>
                <w:rFonts w:ascii="Calibri" w:eastAsia="Calibri" w:hAnsi="Calibri" w:cs="Calibri"/>
                <w:sz w:val="19"/>
                <w:szCs w:val="19"/>
              </w:rPr>
              <w:t>0.50 (naive)</w:t>
            </w:r>
          </w:p>
        </w:tc>
        <w:tc>
          <w:tcPr>
            <w:tcW w:w="2800" w:type="dxa"/>
          </w:tcPr>
          <w:p w14:paraId="67A3CED2" w14:textId="77777777" w:rsidR="00050071" w:rsidRDefault="006D2835">
            <w:r>
              <w:rPr>
                <w:rFonts w:ascii="Calibri" w:eastAsia="Calibri" w:hAnsi="Calibri" w:cs="Calibri"/>
                <w:sz w:val="19"/>
                <w:szCs w:val="19"/>
              </w:rPr>
              <w:t>98,634,800</w:t>
            </w:r>
          </w:p>
        </w:tc>
        <w:tc>
          <w:tcPr>
            <w:tcW w:w="1400" w:type="dxa"/>
          </w:tcPr>
          <w:p w14:paraId="12424F78" w14:textId="77777777" w:rsidR="00050071" w:rsidRDefault="006D2835">
            <w:r>
              <w:rPr>
                <w:rFonts w:ascii="Calibri" w:eastAsia="Calibri" w:hAnsi="Calibri" w:cs="Calibri"/>
                <w:sz w:val="19"/>
                <w:szCs w:val="19"/>
              </w:rPr>
              <w:t>9,863</w:t>
            </w:r>
          </w:p>
        </w:tc>
        <w:tc>
          <w:tcPr>
            <w:tcW w:w="1500" w:type="dxa"/>
          </w:tcPr>
          <w:p w14:paraId="14EF67C4" w14:textId="77777777" w:rsidR="00050071" w:rsidRDefault="006D2835">
            <w:r>
              <w:rPr>
                <w:rFonts w:ascii="Calibri" w:eastAsia="Calibri" w:hAnsi="Calibri" w:cs="Calibri"/>
                <w:sz w:val="19"/>
                <w:szCs w:val="19"/>
              </w:rPr>
              <w:t>6</w:t>
            </w:r>
          </w:p>
        </w:tc>
      </w:tr>
    </w:tbl>
    <w:p w14:paraId="438546B2" w14:textId="77777777" w:rsidR="00050071" w:rsidRDefault="00050071">
      <w:pPr>
        <w:spacing w:after="80"/>
      </w:pPr>
    </w:p>
    <w:p w14:paraId="6AF6055C" w14:textId="77777777" w:rsidR="00050071" w:rsidRDefault="006D2835">
      <w:pPr>
        <w:spacing w:after="90"/>
      </w:pPr>
      <w:r>
        <w:rPr>
          <w:rFonts w:ascii="Calibri" w:eastAsia="Calibri" w:hAnsi="Calibri" w:cs="Calibri"/>
          <w:sz w:val="21"/>
          <w:szCs w:val="21"/>
        </w:rPr>
        <w:t>This is a saving of about KES 205,000 per 1,000 applications. The naive 0.5 threshold almost never flags anything (FP=6) because raw scores rarely cross 0.5 at an 8.4% base rate, so it misses nearly every real default; moving the threshold down trades a modest rise in wrongful rejections for a large fall in missed defaults, which the 12.5x cost asymmetry rewards heavily. This threshold is revisited after tuning and calibration in Section 5.</w:t>
      </w:r>
    </w:p>
    <w:p w14:paraId="7B388D6F" w14:textId="77777777" w:rsidR="00050071" w:rsidRDefault="006D2835">
      <w:pPr>
        <w:pStyle w:val="Heading1"/>
        <w:spacing w:before="160" w:after="80"/>
      </w:pPr>
      <w:r>
        <w:t>4. Imbalance handling and tuning</w:t>
      </w:r>
    </w:p>
    <w:p w14:paraId="4396D4A2" w14:textId="77777777" w:rsidR="00050071" w:rsidRDefault="006D2835">
      <w:pPr>
        <w:pStyle w:val="Heading2"/>
        <w:spacing w:before="120" w:after="60"/>
      </w:pPr>
      <w:r>
        <w:t>4.1 Imbalance</w:t>
      </w:r>
    </w:p>
    <w:p w14:paraId="0C6827B1" w14:textId="77777777" w:rsidR="00050071" w:rsidRDefault="006D2835">
      <w:pPr>
        <w:spacing w:after="90"/>
      </w:pPr>
      <w:r>
        <w:rPr>
          <w:rFonts w:ascii="Calibri" w:eastAsia="Calibri" w:hAnsi="Calibri" w:cs="Calibri"/>
          <w:sz w:val="21"/>
          <w:szCs w:val="21"/>
        </w:rPr>
        <w:t xml:space="preserve">Two approaches were compared, both correctly inside the purged CV folds: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="balanced", and SMOTE oversampling refit inside each fold. A third run resamples with SMOTE before splitting, outside any fold, to quantify how much that leaks.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tblGrid>
      <w:tr w:rsidR="00050071" w14:paraId="37DF20F6" w14:textId="77777777">
        <w:tblPrEx>
          <w:tblCellMar>
            <w:top w:w="0" w:type="dxa"/>
            <w:bottom w:w="0" w:type="dxa"/>
          </w:tblCellMar>
        </w:tblPrEx>
        <w:tc>
          <w:tcPr>
            <w:tcW w:w="3600" w:type="dxa"/>
            <w:shd w:val="clear" w:color="auto" w:fill="D9E2F3"/>
          </w:tcPr>
          <w:p w14:paraId="12C766CD" w14:textId="77777777" w:rsidR="00050071" w:rsidRDefault="006D2835">
            <w:r>
              <w:rPr>
                <w:rFonts w:ascii="Calibri" w:eastAsia="Calibri" w:hAnsi="Calibri" w:cs="Calibri"/>
                <w:b/>
                <w:bCs/>
                <w:sz w:val="19"/>
                <w:szCs w:val="19"/>
              </w:rPr>
              <w:t>Approach</w:t>
            </w:r>
          </w:p>
        </w:tc>
        <w:tc>
          <w:tcPr>
            <w:tcW w:w="2000" w:type="dxa"/>
            <w:shd w:val="clear" w:color="auto" w:fill="D9E2F3"/>
          </w:tcPr>
          <w:p w14:paraId="06BF947A" w14:textId="77777777" w:rsidR="00050071" w:rsidRDefault="006D2835">
            <w:r>
              <w:rPr>
                <w:rFonts w:ascii="Calibri" w:eastAsia="Calibri" w:hAnsi="Calibri" w:cs="Calibri"/>
                <w:b/>
                <w:bCs/>
                <w:sz w:val="19"/>
                <w:szCs w:val="19"/>
              </w:rPr>
              <w:t>PR-AUC (mean)</w:t>
            </w:r>
          </w:p>
        </w:tc>
        <w:tc>
          <w:tcPr>
            <w:tcW w:w="2000" w:type="dxa"/>
            <w:shd w:val="clear" w:color="auto" w:fill="D9E2F3"/>
          </w:tcPr>
          <w:p w14:paraId="7EAFC32A" w14:textId="77777777" w:rsidR="00050071" w:rsidRDefault="006D2835">
            <w:r>
              <w:rPr>
                <w:rFonts w:ascii="Calibri" w:eastAsia="Calibri" w:hAnsi="Calibri" w:cs="Calibri"/>
                <w:b/>
                <w:bCs/>
                <w:sz w:val="19"/>
                <w:szCs w:val="19"/>
              </w:rPr>
              <w:t>PR-AUC (std)</w:t>
            </w:r>
          </w:p>
        </w:tc>
      </w:tr>
      <w:tr w:rsidR="00050071" w14:paraId="1CD867DC" w14:textId="77777777">
        <w:tblPrEx>
          <w:tblCellMar>
            <w:top w:w="0" w:type="dxa"/>
            <w:bottom w:w="0" w:type="dxa"/>
          </w:tblCellMar>
        </w:tblPrEx>
        <w:tc>
          <w:tcPr>
            <w:tcW w:w="3600" w:type="dxa"/>
          </w:tcPr>
          <w:p w14:paraId="06005D34" w14:textId="77777777" w:rsidR="00050071" w:rsidRDefault="006D2835">
            <w:proofErr w:type="spellStart"/>
            <w:r>
              <w:rPr>
                <w:rFonts w:ascii="Calibri" w:eastAsia="Calibri" w:hAnsi="Calibri" w:cs="Calibri"/>
                <w:sz w:val="19"/>
                <w:szCs w:val="19"/>
              </w:rPr>
              <w:t>class_weight</w:t>
            </w:r>
            <w:proofErr w:type="spellEnd"/>
            <w:r>
              <w:rPr>
                <w:rFonts w:ascii="Calibri" w:eastAsia="Calibri" w:hAnsi="Calibri" w:cs="Calibri"/>
                <w:sz w:val="19"/>
                <w:szCs w:val="19"/>
              </w:rPr>
              <w:t xml:space="preserve"> (in-fold, honest)</w:t>
            </w:r>
          </w:p>
        </w:tc>
        <w:tc>
          <w:tcPr>
            <w:tcW w:w="2000" w:type="dxa"/>
          </w:tcPr>
          <w:p w14:paraId="57045394" w14:textId="77777777" w:rsidR="00050071" w:rsidRDefault="006D2835">
            <w:r>
              <w:rPr>
                <w:rFonts w:ascii="Calibri" w:eastAsia="Calibri" w:hAnsi="Calibri" w:cs="Calibri"/>
                <w:sz w:val="19"/>
                <w:szCs w:val="19"/>
              </w:rPr>
              <w:t>0.1357</w:t>
            </w:r>
          </w:p>
        </w:tc>
        <w:tc>
          <w:tcPr>
            <w:tcW w:w="2000" w:type="dxa"/>
          </w:tcPr>
          <w:p w14:paraId="5C073DBD" w14:textId="77777777" w:rsidR="00050071" w:rsidRDefault="006D2835">
            <w:r>
              <w:rPr>
                <w:rFonts w:ascii="Calibri" w:eastAsia="Calibri" w:hAnsi="Calibri" w:cs="Calibri"/>
                <w:sz w:val="19"/>
                <w:szCs w:val="19"/>
              </w:rPr>
              <w:t>0.0039</w:t>
            </w:r>
          </w:p>
        </w:tc>
      </w:tr>
      <w:tr w:rsidR="00050071" w14:paraId="7F46B999" w14:textId="77777777">
        <w:tblPrEx>
          <w:tblCellMar>
            <w:top w:w="0" w:type="dxa"/>
            <w:bottom w:w="0" w:type="dxa"/>
          </w:tblCellMar>
        </w:tblPrEx>
        <w:tc>
          <w:tcPr>
            <w:tcW w:w="3600" w:type="dxa"/>
          </w:tcPr>
          <w:p w14:paraId="3515217D" w14:textId="77777777" w:rsidR="00050071" w:rsidRDefault="006D2835">
            <w:r>
              <w:rPr>
                <w:rFonts w:ascii="Calibri" w:eastAsia="Calibri" w:hAnsi="Calibri" w:cs="Calibri"/>
                <w:sz w:val="19"/>
                <w:szCs w:val="19"/>
              </w:rPr>
              <w:t>SMOTE (in-fold, honest)</w:t>
            </w:r>
          </w:p>
        </w:tc>
        <w:tc>
          <w:tcPr>
            <w:tcW w:w="2000" w:type="dxa"/>
          </w:tcPr>
          <w:p w14:paraId="06B28597" w14:textId="77777777" w:rsidR="00050071" w:rsidRDefault="006D2835">
            <w:r>
              <w:rPr>
                <w:rFonts w:ascii="Calibri" w:eastAsia="Calibri" w:hAnsi="Calibri" w:cs="Calibri"/>
                <w:sz w:val="19"/>
                <w:szCs w:val="19"/>
              </w:rPr>
              <w:t>0.1372</w:t>
            </w:r>
          </w:p>
        </w:tc>
        <w:tc>
          <w:tcPr>
            <w:tcW w:w="2000" w:type="dxa"/>
          </w:tcPr>
          <w:p w14:paraId="09BBA8C8" w14:textId="77777777" w:rsidR="00050071" w:rsidRDefault="006D2835">
            <w:r>
              <w:rPr>
                <w:rFonts w:ascii="Calibri" w:eastAsia="Calibri" w:hAnsi="Calibri" w:cs="Calibri"/>
                <w:sz w:val="19"/>
                <w:szCs w:val="19"/>
              </w:rPr>
              <w:t>0.0041</w:t>
            </w:r>
          </w:p>
        </w:tc>
      </w:tr>
      <w:tr w:rsidR="00050071" w14:paraId="12EAE070" w14:textId="77777777">
        <w:tblPrEx>
          <w:tblCellMar>
            <w:top w:w="0" w:type="dxa"/>
            <w:bottom w:w="0" w:type="dxa"/>
          </w:tblCellMar>
        </w:tblPrEx>
        <w:tc>
          <w:tcPr>
            <w:tcW w:w="3600" w:type="dxa"/>
          </w:tcPr>
          <w:p w14:paraId="574B2495" w14:textId="77777777" w:rsidR="00050071" w:rsidRDefault="006D2835">
            <w:r>
              <w:rPr>
                <w:rFonts w:ascii="Calibri" w:eastAsia="Calibri" w:hAnsi="Calibri" w:cs="Calibri"/>
                <w:sz w:val="19"/>
                <w:szCs w:val="19"/>
              </w:rPr>
              <w:t>SMOTE (outside fold, leaky)</w:t>
            </w:r>
          </w:p>
        </w:tc>
        <w:tc>
          <w:tcPr>
            <w:tcW w:w="2000" w:type="dxa"/>
          </w:tcPr>
          <w:p w14:paraId="78C747A9" w14:textId="77777777" w:rsidR="00050071" w:rsidRDefault="006D2835">
            <w:r>
              <w:rPr>
                <w:rFonts w:ascii="Calibri" w:eastAsia="Calibri" w:hAnsi="Calibri" w:cs="Calibri"/>
                <w:sz w:val="19"/>
                <w:szCs w:val="19"/>
              </w:rPr>
              <w:t>0.9776</w:t>
            </w:r>
          </w:p>
        </w:tc>
        <w:tc>
          <w:tcPr>
            <w:tcW w:w="2000" w:type="dxa"/>
          </w:tcPr>
          <w:p w14:paraId="10150EF1" w14:textId="77777777" w:rsidR="00050071" w:rsidRDefault="006D2835">
            <w:r>
              <w:rPr>
                <w:rFonts w:ascii="Calibri" w:eastAsia="Calibri" w:hAnsi="Calibri" w:cs="Calibri"/>
                <w:sz w:val="19"/>
                <w:szCs w:val="19"/>
              </w:rPr>
              <w:t>0.0003</w:t>
            </w:r>
          </w:p>
        </w:tc>
      </w:tr>
    </w:tbl>
    <w:p w14:paraId="57B0D498" w14:textId="77777777" w:rsidR="00050071" w:rsidRDefault="00050071">
      <w:pPr>
        <w:spacing w:after="80"/>
      </w:pPr>
    </w:p>
    <w:p w14:paraId="35D8B5FE" w14:textId="77777777" w:rsidR="00050071" w:rsidRDefault="006D2835">
      <w:pPr>
        <w:spacing w:after="90"/>
      </w:pPr>
      <w:r>
        <w:rPr>
          <w:rFonts w:ascii="Calibri" w:eastAsia="Calibri" w:hAnsi="Calibri" w:cs="Calibri"/>
          <w:sz w:val="21"/>
          <w:szCs w:val="21"/>
        </w:rPr>
        <w:t xml:space="preserve">Resampling before the split lets SMOTE </w:t>
      </w:r>
      <w:proofErr w:type="spellStart"/>
      <w:r>
        <w:rPr>
          <w:rFonts w:ascii="Calibri" w:eastAsia="Calibri" w:hAnsi="Calibri" w:cs="Calibri"/>
          <w:sz w:val="21"/>
          <w:szCs w:val="21"/>
        </w:rPr>
        <w:t>synthesise</w:t>
      </w:r>
      <w:proofErr w:type="spellEnd"/>
      <w:r>
        <w:rPr>
          <w:rFonts w:ascii="Calibri" w:eastAsia="Calibri" w:hAnsi="Calibri" w:cs="Calibri"/>
          <w:sz w:val="21"/>
          <w:szCs w:val="21"/>
        </w:rPr>
        <w:t xml:space="preserve"> minority points from </w:t>
      </w:r>
      <w:proofErr w:type="spellStart"/>
      <w:r>
        <w:rPr>
          <w:rFonts w:ascii="Calibri" w:eastAsia="Calibri" w:hAnsi="Calibri" w:cs="Calibri"/>
          <w:sz w:val="21"/>
          <w:szCs w:val="21"/>
        </w:rPr>
        <w:t>neighbours</w:t>
      </w:r>
      <w:proofErr w:type="spellEnd"/>
      <w:r>
        <w:rPr>
          <w:rFonts w:ascii="Calibri" w:eastAsia="Calibri" w:hAnsi="Calibri" w:cs="Calibri"/>
          <w:sz w:val="21"/>
          <w:szCs w:val="21"/>
        </w:rPr>
        <w:t xml:space="preserve"> that then land on both sides of a fold, so a synthetic point interpolated from a test-fold </w:t>
      </w:r>
      <w:proofErr w:type="spellStart"/>
      <w:r>
        <w:rPr>
          <w:rFonts w:ascii="Calibri" w:eastAsia="Calibri" w:hAnsi="Calibri" w:cs="Calibri"/>
          <w:sz w:val="21"/>
          <w:szCs w:val="21"/>
        </w:rPr>
        <w:t>neighbour</w:t>
      </w:r>
      <w:proofErr w:type="spellEnd"/>
      <w:r>
        <w:rPr>
          <w:rFonts w:ascii="Calibri" w:eastAsia="Calibri" w:hAnsi="Calibri" w:cs="Calibri"/>
          <w:sz w:val="21"/>
          <w:szCs w:val="21"/>
        </w:rPr>
        <w:t xml:space="preserve"> is not genuinely unseen. PR-AUC inflates from about 0.14 (honest, either technique) to 0.98 (leaky), a similar order of inflation to the two planted leaks in Assignment 1.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 xml:space="preserve"> and in-fold SMOTE perform similarly honestly;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 xml:space="preserve"> is used going forward since it is cheaper and avoids </w:t>
      </w:r>
      <w:proofErr w:type="spellStart"/>
      <w:r>
        <w:rPr>
          <w:rFonts w:ascii="Calibri" w:eastAsia="Calibri" w:hAnsi="Calibri" w:cs="Calibri"/>
          <w:sz w:val="21"/>
          <w:szCs w:val="21"/>
        </w:rPr>
        <w:t>synthesising</w:t>
      </w:r>
      <w:proofErr w:type="spellEnd"/>
      <w:r>
        <w:rPr>
          <w:rFonts w:ascii="Calibri" w:eastAsia="Calibri" w:hAnsi="Calibri" w:cs="Calibri"/>
          <w:sz w:val="21"/>
          <w:szCs w:val="21"/>
        </w:rPr>
        <w:t xml:space="preserve"> data.</w:t>
      </w:r>
    </w:p>
    <w:p w14:paraId="55CAA4E4" w14:textId="77777777" w:rsidR="00050071" w:rsidRDefault="006D2835">
      <w:pPr>
        <w:pStyle w:val="Heading2"/>
        <w:spacing w:before="120" w:after="60"/>
      </w:pPr>
      <w:r>
        <w:t>4.2 Tuning</w:t>
      </w:r>
    </w:p>
    <w:p w14:paraId="5A24B3F1" w14:textId="5BB92A36" w:rsidR="00050071" w:rsidRDefault="006D2835">
      <w:pPr>
        <w:spacing w:after="90"/>
      </w:pPr>
      <w:r>
        <w:rPr>
          <w:rFonts w:ascii="Calibri" w:eastAsia="Calibri" w:hAnsi="Calibri" w:cs="Calibri"/>
          <w:sz w:val="21"/>
          <w:szCs w:val="21"/>
        </w:rPr>
        <w:t xml:space="preserve">An </w:t>
      </w:r>
      <w:proofErr w:type="spellStart"/>
      <w:r>
        <w:rPr>
          <w:rFonts w:ascii="Calibri" w:eastAsia="Calibri" w:hAnsi="Calibri" w:cs="Calibri"/>
          <w:sz w:val="21"/>
          <w:szCs w:val="21"/>
        </w:rPr>
        <w:t>Optuna</w:t>
      </w:r>
      <w:proofErr w:type="spellEnd"/>
      <w:r>
        <w:rPr>
          <w:rFonts w:ascii="Calibri" w:eastAsia="Calibri" w:hAnsi="Calibri" w:cs="Calibri"/>
          <w:sz w:val="21"/>
          <w:szCs w:val="21"/>
        </w:rPr>
        <w:t xml:space="preserve"> study of 60 trials tuned </w:t>
      </w:r>
      <w:proofErr w:type="spellStart"/>
      <w:r>
        <w:rPr>
          <w:rFonts w:ascii="Calibri" w:eastAsia="Calibri" w:hAnsi="Calibri" w:cs="Calibri"/>
          <w:sz w:val="21"/>
          <w:szCs w:val="21"/>
        </w:rPr>
        <w:t>XGBoost</w:t>
      </w:r>
      <w:proofErr w:type="spellEnd"/>
      <w:r>
        <w:rPr>
          <w:rFonts w:ascii="Calibri" w:eastAsia="Calibri" w:hAnsi="Calibri" w:cs="Calibri"/>
          <w:sz w:val="21"/>
          <w:szCs w:val="21"/>
        </w:rPr>
        <w:t xml:space="preserve"> only, over tree depth, learning rate, subsample and column subsample ratios, </w:t>
      </w:r>
      <w:proofErr w:type="spellStart"/>
      <w:r>
        <w:rPr>
          <w:rFonts w:ascii="Calibri" w:eastAsia="Calibri" w:hAnsi="Calibri" w:cs="Calibri"/>
          <w:sz w:val="21"/>
          <w:szCs w:val="21"/>
        </w:rPr>
        <w:t>min_child_weight</w:t>
      </w:r>
      <w:proofErr w:type="spellEnd"/>
      <w:r>
        <w:rPr>
          <w:rFonts w:ascii="Calibri" w:eastAsia="Calibri" w:hAnsi="Calibri" w:cs="Calibri"/>
          <w:sz w:val="21"/>
          <w:szCs w:val="21"/>
        </w:rPr>
        <w:t xml:space="preserve">, L1/L2 </w:t>
      </w:r>
      <w:proofErr w:type="spellStart"/>
      <w:r>
        <w:rPr>
          <w:rFonts w:ascii="Calibri" w:eastAsia="Calibri" w:hAnsi="Calibri" w:cs="Calibri"/>
          <w:sz w:val="21"/>
          <w:szCs w:val="21"/>
        </w:rPr>
        <w:t>regularisation</w:t>
      </w:r>
      <w:proofErr w:type="spellEnd"/>
      <w:r>
        <w:rPr>
          <w:rFonts w:ascii="Calibri" w:eastAsia="Calibri" w:hAnsi="Calibri" w:cs="Calibri"/>
          <w:sz w:val="21"/>
          <w:szCs w:val="21"/>
        </w:rPr>
        <w:t>, and scale</w:t>
      </w:r>
      <w:r w:rsidR="00B460B4">
        <w:rPr>
          <w:rFonts w:ascii="Calibri" w:eastAsia="Calibri" w:hAnsi="Calibri" w:cs="Calibri"/>
          <w:sz w:val="21"/>
          <w:szCs w:val="21"/>
        </w:rPr>
        <w:t xml:space="preserve"> </w:t>
      </w:r>
      <w:r>
        <w:rPr>
          <w:rFonts w:ascii="Calibri" w:eastAsia="Calibri" w:hAnsi="Calibri" w:cs="Calibri"/>
          <w:sz w:val="21"/>
          <w:szCs w:val="21"/>
        </w:rPr>
        <w:t>pos</w:t>
      </w:r>
      <w:r w:rsidR="00B460B4">
        <w:rPr>
          <w:rFonts w:ascii="Calibri" w:eastAsia="Calibri" w:hAnsi="Calibri" w:cs="Calibri"/>
          <w:sz w:val="21"/>
          <w:szCs w:val="21"/>
        </w:rPr>
        <w:t xml:space="preserve"> </w:t>
      </w:r>
      <w:r>
        <w:rPr>
          <w:rFonts w:ascii="Calibri" w:eastAsia="Calibri" w:hAnsi="Calibri" w:cs="Calibri"/>
          <w:sz w:val="21"/>
          <w:szCs w:val="21"/>
        </w:rPr>
        <w:t xml:space="preserve">weight. The objective is mean PR-AUC across the last 2 purged folds, each capped at 50,000 training rows with preprocessing fit once and cached per fold, so only classifier hyperparameters vary between trials; this keeps the study inside a sane time budget without touching the evaluation logic. Pruning uses a </w:t>
      </w:r>
      <w:proofErr w:type="spellStart"/>
      <w:r>
        <w:rPr>
          <w:rFonts w:ascii="Calibri" w:eastAsia="Calibri" w:hAnsi="Calibri" w:cs="Calibri"/>
          <w:sz w:val="21"/>
          <w:szCs w:val="21"/>
        </w:rPr>
        <w:t>MedianPruner</w:t>
      </w:r>
      <w:proofErr w:type="spellEnd"/>
      <w:r>
        <w:rPr>
          <w:rFonts w:ascii="Calibri" w:eastAsia="Calibri" w:hAnsi="Calibri" w:cs="Calibri"/>
          <w:sz w:val="21"/>
          <w:szCs w:val="21"/>
        </w:rPr>
        <w:t xml:space="preserve">, reporting PR-AUC after each of the 2 folds so a clearly-behind trial stops early (2 of 60 trials were pruned). The study is persisted to </w:t>
      </w:r>
      <w:proofErr w:type="spellStart"/>
      <w:r>
        <w:rPr>
          <w:rFonts w:ascii="Calibri" w:eastAsia="Calibri" w:hAnsi="Calibri" w:cs="Calibri"/>
          <w:sz w:val="21"/>
          <w:szCs w:val="21"/>
        </w:rPr>
        <w:t>optuna</w:t>
      </w:r>
      <w:proofErr w:type="spellEnd"/>
      <w:r w:rsidR="00B460B4">
        <w:rPr>
          <w:rFonts w:ascii="Calibri" w:eastAsia="Calibri" w:hAnsi="Calibri" w:cs="Calibri"/>
          <w:sz w:val="21"/>
          <w:szCs w:val="21"/>
        </w:rPr>
        <w:t xml:space="preserve"> </w:t>
      </w:r>
      <w:proofErr w:type="spellStart"/>
      <w:r>
        <w:rPr>
          <w:rFonts w:ascii="Calibri" w:eastAsia="Calibri" w:hAnsi="Calibri" w:cs="Calibri"/>
          <w:sz w:val="21"/>
          <w:szCs w:val="21"/>
        </w:rPr>
        <w:t>study.db</w:t>
      </w:r>
      <w:proofErr w:type="spellEnd"/>
      <w:r>
        <w:rPr>
          <w:rFonts w:ascii="Calibri" w:eastAsia="Calibri" w:hAnsi="Calibri" w:cs="Calibri"/>
          <w:sz w:val="21"/>
          <w:szCs w:val="21"/>
        </w:rPr>
        <w:t xml:space="preserve"> so it can be reopened.</w:t>
      </w:r>
    </w:p>
    <w:p w14:paraId="4D17FAB8" w14:textId="77777777" w:rsidR="00050071" w:rsidRDefault="006D2835">
      <w:pPr>
        <w:spacing w:after="90"/>
      </w:pPr>
      <w:r>
        <w:rPr>
          <w:rFonts w:ascii="Calibri" w:eastAsia="Calibri" w:hAnsi="Calibri" w:cs="Calibri"/>
          <w:sz w:val="21"/>
          <w:szCs w:val="21"/>
        </w:rPr>
        <w:t xml:space="preserve">Best tuning-objective PR-AUC: 0.1427 (versus 0.1357 untuned). Best parameters: </w:t>
      </w:r>
      <w:proofErr w:type="spellStart"/>
      <w:r>
        <w:rPr>
          <w:rFonts w:ascii="Calibri" w:eastAsia="Calibri" w:hAnsi="Calibri" w:cs="Calibri"/>
          <w:sz w:val="21"/>
          <w:szCs w:val="21"/>
        </w:rPr>
        <w:t>n_estimators</w:t>
      </w:r>
      <w:proofErr w:type="spellEnd"/>
      <w:r>
        <w:rPr>
          <w:rFonts w:ascii="Calibri" w:eastAsia="Calibri" w:hAnsi="Calibri" w:cs="Calibri"/>
          <w:sz w:val="21"/>
          <w:szCs w:val="21"/>
        </w:rPr>
        <w:t xml:space="preserve">=308, </w:t>
      </w:r>
      <w:proofErr w:type="spellStart"/>
      <w:r>
        <w:rPr>
          <w:rFonts w:ascii="Calibri" w:eastAsia="Calibri" w:hAnsi="Calibri" w:cs="Calibri"/>
          <w:sz w:val="21"/>
          <w:szCs w:val="21"/>
        </w:rPr>
        <w:t>max_depth</w:t>
      </w:r>
      <w:proofErr w:type="spellEnd"/>
      <w:r>
        <w:rPr>
          <w:rFonts w:ascii="Calibri" w:eastAsia="Calibri" w:hAnsi="Calibri" w:cs="Calibri"/>
          <w:sz w:val="21"/>
          <w:szCs w:val="21"/>
        </w:rPr>
        <w:t xml:space="preserve">=3, </w:t>
      </w:r>
      <w:proofErr w:type="spellStart"/>
      <w:r>
        <w:rPr>
          <w:rFonts w:ascii="Calibri" w:eastAsia="Calibri" w:hAnsi="Calibri" w:cs="Calibri"/>
          <w:sz w:val="21"/>
          <w:szCs w:val="21"/>
        </w:rPr>
        <w:t>learning_rate</w:t>
      </w:r>
      <w:proofErr w:type="spellEnd"/>
      <w:r>
        <w:rPr>
          <w:rFonts w:ascii="Calibri" w:eastAsia="Calibri" w:hAnsi="Calibri" w:cs="Calibri"/>
          <w:sz w:val="21"/>
          <w:szCs w:val="21"/>
        </w:rPr>
        <w:t xml:space="preserve">=0.017, subsample=0.87, </w:t>
      </w:r>
      <w:proofErr w:type="spellStart"/>
      <w:r>
        <w:rPr>
          <w:rFonts w:ascii="Calibri" w:eastAsia="Calibri" w:hAnsi="Calibri" w:cs="Calibri"/>
          <w:sz w:val="21"/>
          <w:szCs w:val="21"/>
        </w:rPr>
        <w:t>colsample_bytree</w:t>
      </w:r>
      <w:proofErr w:type="spellEnd"/>
      <w:r>
        <w:rPr>
          <w:rFonts w:ascii="Calibri" w:eastAsia="Calibri" w:hAnsi="Calibri" w:cs="Calibri"/>
          <w:sz w:val="21"/>
          <w:szCs w:val="21"/>
        </w:rPr>
        <w:t xml:space="preserve">=0.61, </w:t>
      </w:r>
      <w:proofErr w:type="spellStart"/>
      <w:r>
        <w:rPr>
          <w:rFonts w:ascii="Calibri" w:eastAsia="Calibri" w:hAnsi="Calibri" w:cs="Calibri"/>
          <w:sz w:val="21"/>
          <w:szCs w:val="21"/>
        </w:rPr>
        <w:t>min_child_weight</w:t>
      </w:r>
      <w:proofErr w:type="spellEnd"/>
      <w:r>
        <w:rPr>
          <w:rFonts w:ascii="Calibri" w:eastAsia="Calibri" w:hAnsi="Calibri" w:cs="Calibri"/>
          <w:sz w:val="21"/>
          <w:szCs w:val="21"/>
        </w:rPr>
        <w:t xml:space="preserve">=7, </w:t>
      </w:r>
      <w:proofErr w:type="spellStart"/>
      <w:r>
        <w:rPr>
          <w:rFonts w:ascii="Calibri" w:eastAsia="Calibri" w:hAnsi="Calibri" w:cs="Calibri"/>
          <w:sz w:val="21"/>
          <w:szCs w:val="21"/>
        </w:rPr>
        <w:t>reg_lambda</w:t>
      </w:r>
      <w:proofErr w:type="spellEnd"/>
      <w:r>
        <w:rPr>
          <w:rFonts w:ascii="Calibri" w:eastAsia="Calibri" w:hAnsi="Calibri" w:cs="Calibri"/>
          <w:sz w:val="21"/>
          <w:szCs w:val="21"/>
        </w:rPr>
        <w:t xml:space="preserve">=4.46, </w:t>
      </w:r>
      <w:proofErr w:type="spellStart"/>
      <w:r>
        <w:rPr>
          <w:rFonts w:ascii="Calibri" w:eastAsia="Calibri" w:hAnsi="Calibri" w:cs="Calibri"/>
          <w:sz w:val="21"/>
          <w:szCs w:val="21"/>
        </w:rPr>
        <w:t>reg_alpha</w:t>
      </w:r>
      <w:proofErr w:type="spellEnd"/>
      <w:r>
        <w:rPr>
          <w:rFonts w:ascii="Calibri" w:eastAsia="Calibri" w:hAnsi="Calibri" w:cs="Calibri"/>
          <w:sz w:val="21"/>
          <w:szCs w:val="21"/>
        </w:rPr>
        <w:t xml:space="preserve">=2.15, </w:t>
      </w:r>
      <w:proofErr w:type="spellStart"/>
      <w:r>
        <w:rPr>
          <w:rFonts w:ascii="Calibri" w:eastAsia="Calibri" w:hAnsi="Calibri" w:cs="Calibri"/>
          <w:sz w:val="21"/>
          <w:szCs w:val="21"/>
        </w:rPr>
        <w:t>scale_pos_weight</w:t>
      </w:r>
      <w:proofErr w:type="spellEnd"/>
      <w:r>
        <w:rPr>
          <w:rFonts w:ascii="Calibri" w:eastAsia="Calibri" w:hAnsi="Calibri" w:cs="Calibri"/>
          <w:sz w:val="21"/>
          <w:szCs w:val="21"/>
        </w:rPr>
        <w:t>=7.72.</w:t>
      </w:r>
    </w:p>
    <w:p w14:paraId="2BFA3A57" w14:textId="77777777" w:rsidR="00050071" w:rsidRDefault="006D2835">
      <w:pPr>
        <w:pStyle w:val="Heading1"/>
        <w:spacing w:before="160" w:after="80"/>
      </w:pPr>
      <w:r>
        <w:t>5. Calibration</w:t>
      </w:r>
    </w:p>
    <w:p w14:paraId="399CD8BF" w14:textId="77777777" w:rsidR="00050071" w:rsidRDefault="006D2835">
      <w:pPr>
        <w:spacing w:after="90"/>
      </w:pPr>
      <w:r>
        <w:rPr>
          <w:rFonts w:ascii="Calibri" w:eastAsia="Calibri" w:hAnsi="Calibri" w:cs="Calibri"/>
          <w:sz w:val="21"/>
          <w:szCs w:val="21"/>
        </w:rPr>
        <w:t xml:space="preserve">The tuned </w:t>
      </w:r>
      <w:proofErr w:type="spellStart"/>
      <w:r>
        <w:rPr>
          <w:rFonts w:ascii="Calibri" w:eastAsia="Calibri" w:hAnsi="Calibri" w:cs="Calibri"/>
          <w:sz w:val="21"/>
          <w:szCs w:val="21"/>
        </w:rPr>
        <w:t>XGBoost</w:t>
      </w:r>
      <w:proofErr w:type="spellEnd"/>
      <w:r>
        <w:rPr>
          <w:rFonts w:ascii="Calibri" w:eastAsia="Calibri" w:hAnsi="Calibri" w:cs="Calibri"/>
          <w:sz w:val="21"/>
          <w:szCs w:val="21"/>
        </w:rPr>
        <w:t xml:space="preserve"> was refit on all 5 purged and blocked folds. Inside each fold, the training block was further split chronologically (80/20) and a Platt (logistic) calibrator fit on the held-back 20%, never on the test fold itself, giving out-of-fold raw and calibrated probabilities for every scored row.</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2100"/>
      </w:tblGrid>
      <w:tr w:rsidR="00050071" w14:paraId="7CD75870" w14:textId="77777777">
        <w:tblPrEx>
          <w:tblCellMar>
            <w:top w:w="0" w:type="dxa"/>
            <w:bottom w:w="0" w:type="dxa"/>
          </w:tblCellMar>
        </w:tblPrEx>
        <w:tc>
          <w:tcPr>
            <w:tcW w:w="3600" w:type="dxa"/>
            <w:shd w:val="clear" w:color="auto" w:fill="D9E2F3"/>
          </w:tcPr>
          <w:p w14:paraId="5133F99E" w14:textId="77777777" w:rsidR="00050071" w:rsidRDefault="006D2835">
            <w:r>
              <w:rPr>
                <w:rFonts w:ascii="Calibri" w:eastAsia="Calibri" w:hAnsi="Calibri" w:cs="Calibri"/>
                <w:b/>
                <w:bCs/>
                <w:sz w:val="19"/>
                <w:szCs w:val="19"/>
              </w:rPr>
              <w:t>Metric</w:t>
            </w:r>
          </w:p>
        </w:tc>
        <w:tc>
          <w:tcPr>
            <w:tcW w:w="1900" w:type="dxa"/>
            <w:shd w:val="clear" w:color="auto" w:fill="D9E2F3"/>
          </w:tcPr>
          <w:p w14:paraId="51FC0142" w14:textId="77777777" w:rsidR="00050071" w:rsidRDefault="006D2835">
            <w:r>
              <w:rPr>
                <w:rFonts w:ascii="Calibri" w:eastAsia="Calibri" w:hAnsi="Calibri" w:cs="Calibri"/>
                <w:b/>
                <w:bCs/>
                <w:sz w:val="19"/>
                <w:szCs w:val="19"/>
              </w:rPr>
              <w:t>Raw</w:t>
            </w:r>
          </w:p>
        </w:tc>
        <w:tc>
          <w:tcPr>
            <w:tcW w:w="2100" w:type="dxa"/>
            <w:shd w:val="clear" w:color="auto" w:fill="D9E2F3"/>
          </w:tcPr>
          <w:p w14:paraId="4BC9192B" w14:textId="77777777" w:rsidR="00050071" w:rsidRDefault="006D2835">
            <w:r>
              <w:rPr>
                <w:rFonts w:ascii="Calibri" w:eastAsia="Calibri" w:hAnsi="Calibri" w:cs="Calibri"/>
                <w:b/>
                <w:bCs/>
                <w:sz w:val="19"/>
                <w:szCs w:val="19"/>
              </w:rPr>
              <w:t>Calibrated</w:t>
            </w:r>
          </w:p>
        </w:tc>
      </w:tr>
      <w:tr w:rsidR="00050071" w14:paraId="36C8CE50" w14:textId="77777777">
        <w:tblPrEx>
          <w:tblCellMar>
            <w:top w:w="0" w:type="dxa"/>
            <w:bottom w:w="0" w:type="dxa"/>
          </w:tblCellMar>
        </w:tblPrEx>
        <w:tc>
          <w:tcPr>
            <w:tcW w:w="3600" w:type="dxa"/>
          </w:tcPr>
          <w:p w14:paraId="6C68CE60" w14:textId="77777777" w:rsidR="00050071" w:rsidRDefault="006D2835">
            <w:r>
              <w:rPr>
                <w:rFonts w:ascii="Calibri" w:eastAsia="Calibri" w:hAnsi="Calibri" w:cs="Calibri"/>
                <w:sz w:val="19"/>
                <w:szCs w:val="19"/>
              </w:rPr>
              <w:t>Brier score</w:t>
            </w:r>
          </w:p>
        </w:tc>
        <w:tc>
          <w:tcPr>
            <w:tcW w:w="1900" w:type="dxa"/>
          </w:tcPr>
          <w:p w14:paraId="0BC2254D" w14:textId="77777777" w:rsidR="00050071" w:rsidRDefault="006D2835">
            <w:r>
              <w:rPr>
                <w:rFonts w:ascii="Calibri" w:eastAsia="Calibri" w:hAnsi="Calibri" w:cs="Calibri"/>
                <w:sz w:val="19"/>
                <w:szCs w:val="19"/>
              </w:rPr>
              <w:t>0.1762</w:t>
            </w:r>
          </w:p>
        </w:tc>
        <w:tc>
          <w:tcPr>
            <w:tcW w:w="2100" w:type="dxa"/>
          </w:tcPr>
          <w:p w14:paraId="321DA828" w14:textId="77777777" w:rsidR="00050071" w:rsidRDefault="006D2835">
            <w:r>
              <w:rPr>
                <w:rFonts w:ascii="Calibri" w:eastAsia="Calibri" w:hAnsi="Calibri" w:cs="Calibri"/>
                <w:sz w:val="19"/>
                <w:szCs w:val="19"/>
              </w:rPr>
              <w:t>0.0756</w:t>
            </w:r>
          </w:p>
        </w:tc>
      </w:tr>
      <w:tr w:rsidR="00050071" w14:paraId="128EF555" w14:textId="77777777">
        <w:tblPrEx>
          <w:tblCellMar>
            <w:top w:w="0" w:type="dxa"/>
            <w:bottom w:w="0" w:type="dxa"/>
          </w:tblCellMar>
        </w:tblPrEx>
        <w:tc>
          <w:tcPr>
            <w:tcW w:w="3600" w:type="dxa"/>
          </w:tcPr>
          <w:p w14:paraId="509FAD5A" w14:textId="77777777" w:rsidR="00050071" w:rsidRDefault="006D2835">
            <w:r>
              <w:rPr>
                <w:rFonts w:ascii="Calibri" w:eastAsia="Calibri" w:hAnsi="Calibri" w:cs="Calibri"/>
                <w:sz w:val="19"/>
                <w:szCs w:val="19"/>
              </w:rPr>
              <w:t>PR-AUC</w:t>
            </w:r>
          </w:p>
        </w:tc>
        <w:tc>
          <w:tcPr>
            <w:tcW w:w="1900" w:type="dxa"/>
          </w:tcPr>
          <w:p w14:paraId="18CA2AD1" w14:textId="77777777" w:rsidR="00050071" w:rsidRDefault="006D2835">
            <w:r>
              <w:rPr>
                <w:rFonts w:ascii="Calibri" w:eastAsia="Calibri" w:hAnsi="Calibri" w:cs="Calibri"/>
                <w:sz w:val="19"/>
                <w:szCs w:val="19"/>
              </w:rPr>
              <w:t>0.1419</w:t>
            </w:r>
          </w:p>
        </w:tc>
        <w:tc>
          <w:tcPr>
            <w:tcW w:w="2100" w:type="dxa"/>
          </w:tcPr>
          <w:p w14:paraId="1ED95497" w14:textId="77777777" w:rsidR="00050071" w:rsidRDefault="006D2835">
            <w:r>
              <w:rPr>
                <w:rFonts w:ascii="Calibri" w:eastAsia="Calibri" w:hAnsi="Calibri" w:cs="Calibri"/>
                <w:sz w:val="19"/>
                <w:szCs w:val="19"/>
              </w:rPr>
              <w:t>0.1414</w:t>
            </w:r>
          </w:p>
        </w:tc>
      </w:tr>
      <w:tr w:rsidR="00050071" w14:paraId="7242B2E4" w14:textId="77777777">
        <w:tblPrEx>
          <w:tblCellMar>
            <w:top w:w="0" w:type="dxa"/>
            <w:bottom w:w="0" w:type="dxa"/>
          </w:tblCellMar>
        </w:tblPrEx>
        <w:tc>
          <w:tcPr>
            <w:tcW w:w="3600" w:type="dxa"/>
          </w:tcPr>
          <w:p w14:paraId="11667481" w14:textId="77777777" w:rsidR="00050071" w:rsidRDefault="006D2835">
            <w:r>
              <w:rPr>
                <w:rFonts w:ascii="Calibri" w:eastAsia="Calibri" w:hAnsi="Calibri" w:cs="Calibri"/>
                <w:sz w:val="19"/>
                <w:szCs w:val="19"/>
              </w:rPr>
              <w:t>Cost-optimal threshold</w:t>
            </w:r>
          </w:p>
        </w:tc>
        <w:tc>
          <w:tcPr>
            <w:tcW w:w="1900" w:type="dxa"/>
          </w:tcPr>
          <w:p w14:paraId="22903C4D" w14:textId="77777777" w:rsidR="00050071" w:rsidRDefault="006D2835">
            <w:r>
              <w:rPr>
                <w:rFonts w:ascii="Calibri" w:eastAsia="Calibri" w:hAnsi="Calibri" w:cs="Calibri"/>
                <w:sz w:val="19"/>
                <w:szCs w:val="19"/>
              </w:rPr>
              <w:t>0.40</w:t>
            </w:r>
          </w:p>
        </w:tc>
        <w:tc>
          <w:tcPr>
            <w:tcW w:w="2100" w:type="dxa"/>
          </w:tcPr>
          <w:p w14:paraId="12661BBC" w14:textId="77777777" w:rsidR="00050071" w:rsidRDefault="006D2835">
            <w:r>
              <w:rPr>
                <w:rFonts w:ascii="Calibri" w:eastAsia="Calibri" w:hAnsi="Calibri" w:cs="Calibri"/>
                <w:sz w:val="19"/>
                <w:szCs w:val="19"/>
              </w:rPr>
              <w:t>0.10</w:t>
            </w:r>
          </w:p>
        </w:tc>
      </w:tr>
      <w:tr w:rsidR="00050071" w14:paraId="63AB5788" w14:textId="77777777">
        <w:tblPrEx>
          <w:tblCellMar>
            <w:top w:w="0" w:type="dxa"/>
            <w:bottom w:w="0" w:type="dxa"/>
          </w:tblCellMar>
        </w:tblPrEx>
        <w:tc>
          <w:tcPr>
            <w:tcW w:w="3600" w:type="dxa"/>
          </w:tcPr>
          <w:p w14:paraId="03D5CC7E" w14:textId="77777777" w:rsidR="00050071" w:rsidRDefault="006D2835">
            <w:r>
              <w:rPr>
                <w:rFonts w:ascii="Calibri" w:eastAsia="Calibri" w:hAnsi="Calibri" w:cs="Calibri"/>
                <w:sz w:val="19"/>
                <w:szCs w:val="19"/>
              </w:rPr>
              <w:t>Savings per 1,000 vs naive 0.5</w:t>
            </w:r>
          </w:p>
        </w:tc>
        <w:tc>
          <w:tcPr>
            <w:tcW w:w="1900" w:type="dxa"/>
          </w:tcPr>
          <w:p w14:paraId="3C12B466" w14:textId="77777777" w:rsidR="00050071" w:rsidRDefault="006D2835">
            <w:r>
              <w:rPr>
                <w:rFonts w:ascii="Calibri" w:eastAsia="Calibri" w:hAnsi="Calibri" w:cs="Calibri"/>
                <w:sz w:val="19"/>
                <w:szCs w:val="19"/>
              </w:rPr>
              <w:t>KES 96,639</w:t>
            </w:r>
          </w:p>
        </w:tc>
        <w:tc>
          <w:tcPr>
            <w:tcW w:w="2100" w:type="dxa"/>
          </w:tcPr>
          <w:p w14:paraId="349F707E" w14:textId="77777777" w:rsidR="00050071" w:rsidRDefault="006D2835">
            <w:r>
              <w:rPr>
                <w:rFonts w:ascii="Calibri" w:eastAsia="Calibri" w:hAnsi="Calibri" w:cs="Calibri"/>
                <w:sz w:val="19"/>
                <w:szCs w:val="19"/>
              </w:rPr>
              <w:t>KES 224,381</w:t>
            </w:r>
          </w:p>
        </w:tc>
      </w:tr>
    </w:tbl>
    <w:p w14:paraId="3F49DA5E" w14:textId="77777777" w:rsidR="00050071" w:rsidRDefault="00050071">
      <w:pPr>
        <w:spacing w:after="80"/>
      </w:pPr>
    </w:p>
    <w:p w14:paraId="0F4B1973" w14:textId="673A685C" w:rsidR="00050071" w:rsidRDefault="006D2835">
      <w:pPr>
        <w:spacing w:after="90"/>
      </w:pPr>
      <w:r>
        <w:rPr>
          <w:rFonts w:ascii="Calibri" w:eastAsia="Calibri" w:hAnsi="Calibri" w:cs="Calibri"/>
          <w:sz w:val="21"/>
          <w:szCs w:val="21"/>
        </w:rPr>
        <w:t xml:space="preserve">Calibration moved the threshold substantially. </w:t>
      </w:r>
      <w:r w:rsidR="00B460B4">
        <w:rPr>
          <w:rFonts w:ascii="Calibri" w:eastAsia="Calibri" w:hAnsi="Calibri" w:cs="Calibri"/>
          <w:sz w:val="21"/>
          <w:szCs w:val="21"/>
        </w:rPr>
        <w:t>S</w:t>
      </w:r>
      <w:r>
        <w:rPr>
          <w:rFonts w:ascii="Calibri" w:eastAsia="Calibri" w:hAnsi="Calibri" w:cs="Calibri"/>
          <w:sz w:val="21"/>
          <w:szCs w:val="21"/>
        </w:rPr>
        <w:t>cale</w:t>
      </w:r>
      <w:r w:rsidR="00B460B4">
        <w:rPr>
          <w:rFonts w:ascii="Calibri" w:eastAsia="Calibri" w:hAnsi="Calibri" w:cs="Calibri"/>
          <w:sz w:val="21"/>
          <w:szCs w:val="21"/>
        </w:rPr>
        <w:t xml:space="preserve"> </w:t>
      </w:r>
      <w:r>
        <w:rPr>
          <w:rFonts w:ascii="Calibri" w:eastAsia="Calibri" w:hAnsi="Calibri" w:cs="Calibri"/>
          <w:sz w:val="21"/>
          <w:szCs w:val="21"/>
        </w:rPr>
        <w:t>pos</w:t>
      </w:r>
      <w:r w:rsidR="00B460B4">
        <w:rPr>
          <w:rFonts w:ascii="Calibri" w:eastAsia="Calibri" w:hAnsi="Calibri" w:cs="Calibri"/>
          <w:sz w:val="21"/>
          <w:szCs w:val="21"/>
        </w:rPr>
        <w:t xml:space="preserve"> </w:t>
      </w:r>
      <w:r>
        <w:rPr>
          <w:rFonts w:ascii="Calibri" w:eastAsia="Calibri" w:hAnsi="Calibri" w:cs="Calibri"/>
          <w:sz w:val="21"/>
          <w:szCs w:val="21"/>
        </w:rPr>
        <w:t xml:space="preserve">weight in the tuned model pushes raw scores above their true probability to compensate for the 8.4% base rate during training, so a raw score of 0.40 and a calibrated </w:t>
      </w:r>
      <w:r>
        <w:rPr>
          <w:rFonts w:ascii="Calibri" w:eastAsia="Calibri" w:hAnsi="Calibri" w:cs="Calibri"/>
          <w:sz w:val="21"/>
          <w:szCs w:val="21"/>
        </w:rPr>
        <w:lastRenderedPageBreak/>
        <w:t xml:space="preserve">probability of 0.10 can represent the same underlying risk. Platt scaling maps the raw score back to an actual probability, so the calibrated threshold is the one that means what it says, </w:t>
      </w:r>
    </w:p>
    <w:p w14:paraId="4F1C0753" w14:textId="77777777" w:rsidR="00050071" w:rsidRDefault="006D2835">
      <w:pPr>
        <w:spacing w:after="90"/>
      </w:pPr>
      <w:r>
        <w:rPr>
          <w:rFonts w:ascii="Calibri" w:eastAsia="Calibri" w:hAnsi="Calibri" w:cs="Calibri"/>
          <w:i/>
          <w:iCs/>
          <w:sz w:val="21"/>
          <w:szCs w:val="21"/>
        </w:rPr>
        <w:t>"</w:t>
      </w:r>
      <w:proofErr w:type="gramStart"/>
      <w:r>
        <w:rPr>
          <w:rFonts w:ascii="Calibri" w:eastAsia="Calibri" w:hAnsi="Calibri" w:cs="Calibri"/>
          <w:i/>
          <w:iCs/>
          <w:sz w:val="21"/>
          <w:szCs w:val="21"/>
        </w:rPr>
        <w:t>flag</w:t>
      </w:r>
      <w:proofErr w:type="gramEnd"/>
      <w:r>
        <w:rPr>
          <w:rFonts w:ascii="Calibri" w:eastAsia="Calibri" w:hAnsi="Calibri" w:cs="Calibri"/>
          <w:i/>
          <w:iCs/>
          <w:sz w:val="21"/>
          <w:szCs w:val="21"/>
        </w:rPr>
        <w:t xml:space="preserve"> if P(default) is at least this"</w:t>
      </w:r>
      <w:r>
        <w:rPr>
          <w:rFonts w:ascii="Calibri" w:eastAsia="Calibri" w:hAnsi="Calibri" w:cs="Calibri"/>
          <w:sz w:val="21"/>
          <w:szCs w:val="21"/>
        </w:rPr>
        <w:t>, and is the one that should ship. A reviewer reading threshold = 0.40 off the raw model would badly misjudge how conservative the policy actually is. Achievable minimum cost is nearly identical either way, since calibration is rank-preserving within a fold; only the threshold's label changes.</w:t>
      </w:r>
    </w:p>
    <w:p w14:paraId="0151DDFD" w14:textId="77777777" w:rsidR="00050071" w:rsidRDefault="006D2835">
      <w:pPr>
        <w:spacing w:after="60"/>
        <w:jc w:val="center"/>
      </w:pPr>
      <w:r>
        <w:rPr>
          <w:noProof/>
        </w:rPr>
        <w:drawing>
          <wp:inline distT="0" distB="0" distL="0" distR="0" wp14:anchorId="4CC983C3" wp14:editId="69D09ED0">
            <wp:extent cx="2476500" cy="2476500"/>
            <wp:effectExtent l="0" t="0" r="0" b="0"/>
            <wp:docPr id="1594681684" name="Picture 159468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2476500"/>
                    </a:xfrm>
                    <a:prstGeom prst="rect">
                      <a:avLst/>
                    </a:prstGeom>
                  </pic:spPr>
                </pic:pic>
              </a:graphicData>
            </a:graphic>
          </wp:inline>
        </w:drawing>
      </w:r>
    </w:p>
    <w:p w14:paraId="3CBDD66D" w14:textId="77777777" w:rsidR="00050071" w:rsidRDefault="006D2835">
      <w:pPr>
        <w:spacing w:after="90"/>
      </w:pPr>
      <w:r>
        <w:rPr>
          <w:rFonts w:ascii="Calibri" w:eastAsia="Calibri" w:hAnsi="Calibri" w:cs="Calibri"/>
          <w:i/>
          <w:iCs/>
          <w:sz w:val="18"/>
          <w:szCs w:val="18"/>
        </w:rPr>
        <w:t>Figure 2. Reliability diagram, raw versus calibrated out-of-fold probabilities.</w:t>
      </w:r>
    </w:p>
    <w:p w14:paraId="59D7F12F" w14:textId="77777777" w:rsidR="00050071" w:rsidRDefault="006D2835">
      <w:pPr>
        <w:pStyle w:val="Heading1"/>
        <w:spacing w:before="160" w:after="80"/>
      </w:pPr>
      <w:r>
        <w:t>6. Explainability and fairness</w:t>
      </w:r>
    </w:p>
    <w:p w14:paraId="4C4C785B" w14:textId="77777777" w:rsidR="00050071" w:rsidRDefault="006D2835">
      <w:pPr>
        <w:spacing w:after="90"/>
      </w:pPr>
      <w:r>
        <w:rPr>
          <w:rFonts w:ascii="Calibri" w:eastAsia="Calibri" w:hAnsi="Calibri" w:cs="Calibri"/>
          <w:sz w:val="21"/>
          <w:szCs w:val="21"/>
        </w:rPr>
        <w:t xml:space="preserve">Global and local SHAP explanations were produced on the tuned model refit on the full honest feature set. The strongest global drivers are transaction- and </w:t>
      </w:r>
      <w:proofErr w:type="spellStart"/>
      <w:r>
        <w:rPr>
          <w:rFonts w:ascii="Calibri" w:eastAsia="Calibri" w:hAnsi="Calibri" w:cs="Calibri"/>
          <w:sz w:val="21"/>
          <w:szCs w:val="21"/>
        </w:rPr>
        <w:t>behaviour</w:t>
      </w:r>
      <w:proofErr w:type="spellEnd"/>
      <w:r>
        <w:rPr>
          <w:rFonts w:ascii="Calibri" w:eastAsia="Calibri" w:hAnsi="Calibri" w:cs="Calibri"/>
          <w:sz w:val="21"/>
          <w:szCs w:val="21"/>
        </w:rPr>
        <w:t>-level features such as amount, night-transaction share, and the pay-bill cascade proxy, consistent with what a case-level reason for an individual decline would reference (for example, "flagged due to unusually high night-time transaction share and a rapid pay-bill cascade").</w:t>
      </w:r>
    </w:p>
    <w:p w14:paraId="2CB2248F" w14:textId="77777777" w:rsidR="00050071" w:rsidRDefault="006D2835">
      <w:pPr>
        <w:spacing w:after="90"/>
      </w:pPr>
      <w:r>
        <w:rPr>
          <w:rFonts w:ascii="Calibri" w:eastAsia="Calibri" w:hAnsi="Calibri" w:cs="Calibri"/>
          <w:sz w:val="21"/>
          <w:szCs w:val="21"/>
        </w:rPr>
        <w:t>Approval rate and false-negative rate were computed at the calibrated cost-optimal threshold, split by region and by segment: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tblGrid>
      <w:tr w:rsidR="00050071" w14:paraId="4D2FBC97" w14:textId="77777777">
        <w:tblPrEx>
          <w:tblCellMar>
            <w:top w:w="0" w:type="dxa"/>
            <w:bottom w:w="0" w:type="dxa"/>
          </w:tblCellMar>
        </w:tblPrEx>
        <w:tc>
          <w:tcPr>
            <w:tcW w:w="3600" w:type="dxa"/>
            <w:shd w:val="clear" w:color="auto" w:fill="D9E2F3"/>
          </w:tcPr>
          <w:p w14:paraId="49315232" w14:textId="77777777" w:rsidR="00050071" w:rsidRDefault="006D2835">
            <w:r>
              <w:rPr>
                <w:rFonts w:ascii="Calibri" w:eastAsia="Calibri" w:hAnsi="Calibri" w:cs="Calibri"/>
                <w:b/>
                <w:bCs/>
                <w:sz w:val="19"/>
                <w:szCs w:val="19"/>
              </w:rPr>
              <w:t>Region</w:t>
            </w:r>
          </w:p>
        </w:tc>
        <w:tc>
          <w:tcPr>
            <w:tcW w:w="2000" w:type="dxa"/>
            <w:shd w:val="clear" w:color="auto" w:fill="D9E2F3"/>
          </w:tcPr>
          <w:p w14:paraId="042B369D" w14:textId="77777777" w:rsidR="00050071" w:rsidRDefault="006D2835">
            <w:r>
              <w:rPr>
                <w:rFonts w:ascii="Calibri" w:eastAsia="Calibri" w:hAnsi="Calibri" w:cs="Calibri"/>
                <w:b/>
                <w:bCs/>
                <w:sz w:val="19"/>
                <w:szCs w:val="19"/>
              </w:rPr>
              <w:t>Approval rate</w:t>
            </w:r>
          </w:p>
        </w:tc>
        <w:tc>
          <w:tcPr>
            <w:tcW w:w="2000" w:type="dxa"/>
            <w:shd w:val="clear" w:color="auto" w:fill="D9E2F3"/>
          </w:tcPr>
          <w:p w14:paraId="08DACE79" w14:textId="77777777" w:rsidR="00050071" w:rsidRDefault="006D2835">
            <w:r>
              <w:rPr>
                <w:rFonts w:ascii="Calibri" w:eastAsia="Calibri" w:hAnsi="Calibri" w:cs="Calibri"/>
                <w:b/>
                <w:bCs/>
                <w:sz w:val="19"/>
                <w:szCs w:val="19"/>
              </w:rPr>
              <w:t>False-negative rate</w:t>
            </w:r>
          </w:p>
        </w:tc>
      </w:tr>
      <w:tr w:rsidR="00050071" w14:paraId="4D7994D2" w14:textId="77777777">
        <w:tblPrEx>
          <w:tblCellMar>
            <w:top w:w="0" w:type="dxa"/>
            <w:bottom w:w="0" w:type="dxa"/>
          </w:tblCellMar>
        </w:tblPrEx>
        <w:tc>
          <w:tcPr>
            <w:tcW w:w="3600" w:type="dxa"/>
          </w:tcPr>
          <w:p w14:paraId="3B62D562" w14:textId="77777777" w:rsidR="00050071" w:rsidRDefault="006D2835">
            <w:r>
              <w:rPr>
                <w:rFonts w:ascii="Calibri" w:eastAsia="Calibri" w:hAnsi="Calibri" w:cs="Calibri"/>
                <w:sz w:val="19"/>
                <w:szCs w:val="19"/>
              </w:rPr>
              <w:t>Kampala</w:t>
            </w:r>
          </w:p>
        </w:tc>
        <w:tc>
          <w:tcPr>
            <w:tcW w:w="2000" w:type="dxa"/>
          </w:tcPr>
          <w:p w14:paraId="59A0D2FD" w14:textId="77777777" w:rsidR="00050071" w:rsidRDefault="006D2835">
            <w:r>
              <w:rPr>
                <w:rFonts w:ascii="Calibri" w:eastAsia="Calibri" w:hAnsi="Calibri" w:cs="Calibri"/>
                <w:sz w:val="19"/>
                <w:szCs w:val="19"/>
              </w:rPr>
              <w:t>0.457</w:t>
            </w:r>
          </w:p>
        </w:tc>
        <w:tc>
          <w:tcPr>
            <w:tcW w:w="2000" w:type="dxa"/>
          </w:tcPr>
          <w:p w14:paraId="09CB0B35" w14:textId="77777777" w:rsidR="00050071" w:rsidRDefault="006D2835">
            <w:r>
              <w:rPr>
                <w:rFonts w:ascii="Calibri" w:eastAsia="Calibri" w:hAnsi="Calibri" w:cs="Calibri"/>
                <w:sz w:val="19"/>
                <w:szCs w:val="19"/>
              </w:rPr>
              <w:t>0.285</w:t>
            </w:r>
          </w:p>
        </w:tc>
      </w:tr>
      <w:tr w:rsidR="00050071" w14:paraId="075BCCF0" w14:textId="77777777">
        <w:tblPrEx>
          <w:tblCellMar>
            <w:top w:w="0" w:type="dxa"/>
            <w:bottom w:w="0" w:type="dxa"/>
          </w:tblCellMar>
        </w:tblPrEx>
        <w:tc>
          <w:tcPr>
            <w:tcW w:w="3600" w:type="dxa"/>
          </w:tcPr>
          <w:p w14:paraId="4C4F0857" w14:textId="77777777" w:rsidR="00050071" w:rsidRDefault="006D2835">
            <w:r>
              <w:rPr>
                <w:rFonts w:ascii="Calibri" w:eastAsia="Calibri" w:hAnsi="Calibri" w:cs="Calibri"/>
                <w:sz w:val="19"/>
                <w:szCs w:val="19"/>
              </w:rPr>
              <w:t>Mwanza</w:t>
            </w:r>
          </w:p>
        </w:tc>
        <w:tc>
          <w:tcPr>
            <w:tcW w:w="2000" w:type="dxa"/>
          </w:tcPr>
          <w:p w14:paraId="0EFFD976" w14:textId="77777777" w:rsidR="00050071" w:rsidRDefault="006D2835">
            <w:r>
              <w:rPr>
                <w:rFonts w:ascii="Calibri" w:eastAsia="Calibri" w:hAnsi="Calibri" w:cs="Calibri"/>
                <w:sz w:val="19"/>
                <w:szCs w:val="19"/>
              </w:rPr>
              <w:t>0.441</w:t>
            </w:r>
          </w:p>
        </w:tc>
        <w:tc>
          <w:tcPr>
            <w:tcW w:w="2000" w:type="dxa"/>
          </w:tcPr>
          <w:p w14:paraId="08462DE8" w14:textId="77777777" w:rsidR="00050071" w:rsidRDefault="006D2835">
            <w:r>
              <w:rPr>
                <w:rFonts w:ascii="Calibri" w:eastAsia="Calibri" w:hAnsi="Calibri" w:cs="Calibri"/>
                <w:sz w:val="19"/>
                <w:szCs w:val="19"/>
              </w:rPr>
              <w:t>0.279</w:t>
            </w:r>
          </w:p>
        </w:tc>
      </w:tr>
      <w:tr w:rsidR="00050071" w14:paraId="6A7CE356" w14:textId="77777777">
        <w:tblPrEx>
          <w:tblCellMar>
            <w:top w:w="0" w:type="dxa"/>
            <w:bottom w:w="0" w:type="dxa"/>
          </w:tblCellMar>
        </w:tblPrEx>
        <w:tc>
          <w:tcPr>
            <w:tcW w:w="3600" w:type="dxa"/>
          </w:tcPr>
          <w:p w14:paraId="67D1DABE" w14:textId="77777777" w:rsidR="00050071" w:rsidRDefault="006D2835">
            <w:r>
              <w:rPr>
                <w:rFonts w:ascii="Calibri" w:eastAsia="Calibri" w:hAnsi="Calibri" w:cs="Calibri"/>
                <w:sz w:val="19"/>
                <w:szCs w:val="19"/>
              </w:rPr>
              <w:t>Arusha</w:t>
            </w:r>
          </w:p>
        </w:tc>
        <w:tc>
          <w:tcPr>
            <w:tcW w:w="2000" w:type="dxa"/>
          </w:tcPr>
          <w:p w14:paraId="78C196C4" w14:textId="77777777" w:rsidR="00050071" w:rsidRDefault="006D2835">
            <w:r>
              <w:rPr>
                <w:rFonts w:ascii="Calibri" w:eastAsia="Calibri" w:hAnsi="Calibri" w:cs="Calibri"/>
                <w:sz w:val="19"/>
                <w:szCs w:val="19"/>
              </w:rPr>
              <w:t>0.455</w:t>
            </w:r>
          </w:p>
        </w:tc>
        <w:tc>
          <w:tcPr>
            <w:tcW w:w="2000" w:type="dxa"/>
          </w:tcPr>
          <w:p w14:paraId="35C1E50D" w14:textId="77777777" w:rsidR="00050071" w:rsidRDefault="006D2835">
            <w:r>
              <w:rPr>
                <w:rFonts w:ascii="Calibri" w:eastAsia="Calibri" w:hAnsi="Calibri" w:cs="Calibri"/>
                <w:sz w:val="19"/>
                <w:szCs w:val="19"/>
              </w:rPr>
              <w:t>0.276</w:t>
            </w:r>
          </w:p>
        </w:tc>
      </w:tr>
      <w:tr w:rsidR="00050071" w14:paraId="447DCE43" w14:textId="77777777">
        <w:tblPrEx>
          <w:tblCellMar>
            <w:top w:w="0" w:type="dxa"/>
            <w:bottom w:w="0" w:type="dxa"/>
          </w:tblCellMar>
        </w:tblPrEx>
        <w:tc>
          <w:tcPr>
            <w:tcW w:w="3600" w:type="dxa"/>
          </w:tcPr>
          <w:p w14:paraId="542A3C3F" w14:textId="77777777" w:rsidR="00050071" w:rsidRDefault="006D2835">
            <w:r>
              <w:rPr>
                <w:rFonts w:ascii="Calibri" w:eastAsia="Calibri" w:hAnsi="Calibri" w:cs="Calibri"/>
                <w:sz w:val="19"/>
                <w:szCs w:val="19"/>
              </w:rPr>
              <w:t>Nairobi</w:t>
            </w:r>
          </w:p>
        </w:tc>
        <w:tc>
          <w:tcPr>
            <w:tcW w:w="2000" w:type="dxa"/>
          </w:tcPr>
          <w:p w14:paraId="73562D34" w14:textId="77777777" w:rsidR="00050071" w:rsidRDefault="006D2835">
            <w:r>
              <w:rPr>
                <w:rFonts w:ascii="Calibri" w:eastAsia="Calibri" w:hAnsi="Calibri" w:cs="Calibri"/>
                <w:sz w:val="19"/>
                <w:szCs w:val="19"/>
              </w:rPr>
              <w:t>0.447</w:t>
            </w:r>
          </w:p>
        </w:tc>
        <w:tc>
          <w:tcPr>
            <w:tcW w:w="2000" w:type="dxa"/>
          </w:tcPr>
          <w:p w14:paraId="4C110872" w14:textId="77777777" w:rsidR="00050071" w:rsidRDefault="006D2835">
            <w:r>
              <w:rPr>
                <w:rFonts w:ascii="Calibri" w:eastAsia="Calibri" w:hAnsi="Calibri" w:cs="Calibri"/>
                <w:sz w:val="19"/>
                <w:szCs w:val="19"/>
              </w:rPr>
              <w:t>0.272</w:t>
            </w:r>
          </w:p>
        </w:tc>
      </w:tr>
      <w:tr w:rsidR="00050071" w14:paraId="31E73D7C" w14:textId="77777777">
        <w:tblPrEx>
          <w:tblCellMar>
            <w:top w:w="0" w:type="dxa"/>
            <w:bottom w:w="0" w:type="dxa"/>
          </w:tblCellMar>
        </w:tblPrEx>
        <w:tc>
          <w:tcPr>
            <w:tcW w:w="3600" w:type="dxa"/>
          </w:tcPr>
          <w:p w14:paraId="295EB9CE" w14:textId="77777777" w:rsidR="00050071" w:rsidRDefault="006D2835">
            <w:r>
              <w:rPr>
                <w:rFonts w:ascii="Calibri" w:eastAsia="Calibri" w:hAnsi="Calibri" w:cs="Calibri"/>
                <w:sz w:val="19"/>
                <w:szCs w:val="19"/>
              </w:rPr>
              <w:t>Kigali</w:t>
            </w:r>
          </w:p>
        </w:tc>
        <w:tc>
          <w:tcPr>
            <w:tcW w:w="2000" w:type="dxa"/>
          </w:tcPr>
          <w:p w14:paraId="320AE908" w14:textId="77777777" w:rsidR="00050071" w:rsidRDefault="006D2835">
            <w:r>
              <w:rPr>
                <w:rFonts w:ascii="Calibri" w:eastAsia="Calibri" w:hAnsi="Calibri" w:cs="Calibri"/>
                <w:sz w:val="19"/>
                <w:szCs w:val="19"/>
              </w:rPr>
              <w:t>0.450</w:t>
            </w:r>
          </w:p>
        </w:tc>
        <w:tc>
          <w:tcPr>
            <w:tcW w:w="2000" w:type="dxa"/>
          </w:tcPr>
          <w:p w14:paraId="679A9F89" w14:textId="77777777" w:rsidR="00050071" w:rsidRDefault="006D2835">
            <w:r>
              <w:rPr>
                <w:rFonts w:ascii="Calibri" w:eastAsia="Calibri" w:hAnsi="Calibri" w:cs="Calibri"/>
                <w:sz w:val="19"/>
                <w:szCs w:val="19"/>
              </w:rPr>
              <w:t>0.269</w:t>
            </w:r>
          </w:p>
        </w:tc>
      </w:tr>
      <w:tr w:rsidR="00050071" w14:paraId="77DB4490" w14:textId="77777777">
        <w:tblPrEx>
          <w:tblCellMar>
            <w:top w:w="0" w:type="dxa"/>
            <w:bottom w:w="0" w:type="dxa"/>
          </w:tblCellMar>
        </w:tblPrEx>
        <w:tc>
          <w:tcPr>
            <w:tcW w:w="3600" w:type="dxa"/>
          </w:tcPr>
          <w:p w14:paraId="0F2E9B69" w14:textId="77777777" w:rsidR="00050071" w:rsidRDefault="006D2835">
            <w:r>
              <w:rPr>
                <w:rFonts w:ascii="Calibri" w:eastAsia="Calibri" w:hAnsi="Calibri" w:cs="Calibri"/>
                <w:sz w:val="19"/>
                <w:szCs w:val="19"/>
              </w:rPr>
              <w:t>Mombasa</w:t>
            </w:r>
          </w:p>
        </w:tc>
        <w:tc>
          <w:tcPr>
            <w:tcW w:w="2000" w:type="dxa"/>
          </w:tcPr>
          <w:p w14:paraId="0A0CCB10" w14:textId="77777777" w:rsidR="00050071" w:rsidRDefault="006D2835">
            <w:r>
              <w:rPr>
                <w:rFonts w:ascii="Calibri" w:eastAsia="Calibri" w:hAnsi="Calibri" w:cs="Calibri"/>
                <w:sz w:val="19"/>
                <w:szCs w:val="19"/>
              </w:rPr>
              <w:t>0.450</w:t>
            </w:r>
          </w:p>
        </w:tc>
        <w:tc>
          <w:tcPr>
            <w:tcW w:w="2000" w:type="dxa"/>
          </w:tcPr>
          <w:p w14:paraId="27D6D5F8" w14:textId="77777777" w:rsidR="00050071" w:rsidRDefault="006D2835">
            <w:r>
              <w:rPr>
                <w:rFonts w:ascii="Calibri" w:eastAsia="Calibri" w:hAnsi="Calibri" w:cs="Calibri"/>
                <w:sz w:val="19"/>
                <w:szCs w:val="19"/>
              </w:rPr>
              <w:t>0.266</w:t>
            </w:r>
          </w:p>
        </w:tc>
      </w:tr>
      <w:tr w:rsidR="00050071" w14:paraId="6A8F4331" w14:textId="77777777">
        <w:tblPrEx>
          <w:tblCellMar>
            <w:top w:w="0" w:type="dxa"/>
            <w:bottom w:w="0" w:type="dxa"/>
          </w:tblCellMar>
        </w:tblPrEx>
        <w:tc>
          <w:tcPr>
            <w:tcW w:w="3600" w:type="dxa"/>
          </w:tcPr>
          <w:p w14:paraId="31E22E5E" w14:textId="77777777" w:rsidR="00050071" w:rsidRDefault="006D2835">
            <w:r>
              <w:rPr>
                <w:rFonts w:ascii="Calibri" w:eastAsia="Calibri" w:hAnsi="Calibri" w:cs="Calibri"/>
                <w:sz w:val="19"/>
                <w:szCs w:val="19"/>
              </w:rPr>
              <w:t>Nakuru</w:t>
            </w:r>
          </w:p>
        </w:tc>
        <w:tc>
          <w:tcPr>
            <w:tcW w:w="2000" w:type="dxa"/>
          </w:tcPr>
          <w:p w14:paraId="4D198EE9" w14:textId="77777777" w:rsidR="00050071" w:rsidRDefault="006D2835">
            <w:r>
              <w:rPr>
                <w:rFonts w:ascii="Calibri" w:eastAsia="Calibri" w:hAnsi="Calibri" w:cs="Calibri"/>
                <w:sz w:val="19"/>
                <w:szCs w:val="19"/>
              </w:rPr>
              <w:t>0.445</w:t>
            </w:r>
          </w:p>
        </w:tc>
        <w:tc>
          <w:tcPr>
            <w:tcW w:w="2000" w:type="dxa"/>
          </w:tcPr>
          <w:p w14:paraId="688C546A" w14:textId="77777777" w:rsidR="00050071" w:rsidRDefault="006D2835">
            <w:r>
              <w:rPr>
                <w:rFonts w:ascii="Calibri" w:eastAsia="Calibri" w:hAnsi="Calibri" w:cs="Calibri"/>
                <w:sz w:val="19"/>
                <w:szCs w:val="19"/>
              </w:rPr>
              <w:t>0.266</w:t>
            </w:r>
          </w:p>
        </w:tc>
      </w:tr>
      <w:tr w:rsidR="00050071" w14:paraId="4DAB9E61" w14:textId="77777777">
        <w:tblPrEx>
          <w:tblCellMar>
            <w:top w:w="0" w:type="dxa"/>
            <w:bottom w:w="0" w:type="dxa"/>
          </w:tblCellMar>
        </w:tblPrEx>
        <w:tc>
          <w:tcPr>
            <w:tcW w:w="3600" w:type="dxa"/>
          </w:tcPr>
          <w:p w14:paraId="1511A318" w14:textId="77777777" w:rsidR="00050071" w:rsidRDefault="006D2835">
            <w:r>
              <w:rPr>
                <w:rFonts w:ascii="Calibri" w:eastAsia="Calibri" w:hAnsi="Calibri" w:cs="Calibri"/>
                <w:sz w:val="19"/>
                <w:szCs w:val="19"/>
              </w:rPr>
              <w:t>Dar es Salaam</w:t>
            </w:r>
          </w:p>
        </w:tc>
        <w:tc>
          <w:tcPr>
            <w:tcW w:w="2000" w:type="dxa"/>
          </w:tcPr>
          <w:p w14:paraId="60AA7F99" w14:textId="77777777" w:rsidR="00050071" w:rsidRDefault="006D2835">
            <w:r>
              <w:rPr>
                <w:rFonts w:ascii="Calibri" w:eastAsia="Calibri" w:hAnsi="Calibri" w:cs="Calibri"/>
                <w:sz w:val="19"/>
                <w:szCs w:val="19"/>
              </w:rPr>
              <w:t>0.449</w:t>
            </w:r>
          </w:p>
        </w:tc>
        <w:tc>
          <w:tcPr>
            <w:tcW w:w="2000" w:type="dxa"/>
          </w:tcPr>
          <w:p w14:paraId="07EDED0C" w14:textId="77777777" w:rsidR="00050071" w:rsidRDefault="006D2835">
            <w:r>
              <w:rPr>
                <w:rFonts w:ascii="Calibri" w:eastAsia="Calibri" w:hAnsi="Calibri" w:cs="Calibri"/>
                <w:sz w:val="19"/>
                <w:szCs w:val="19"/>
              </w:rPr>
              <w:t>0.265</w:t>
            </w:r>
          </w:p>
        </w:tc>
      </w:tr>
      <w:tr w:rsidR="00050071" w14:paraId="142870B8" w14:textId="77777777">
        <w:tblPrEx>
          <w:tblCellMar>
            <w:top w:w="0" w:type="dxa"/>
            <w:bottom w:w="0" w:type="dxa"/>
          </w:tblCellMar>
        </w:tblPrEx>
        <w:tc>
          <w:tcPr>
            <w:tcW w:w="3600" w:type="dxa"/>
          </w:tcPr>
          <w:p w14:paraId="4BE7D1D8" w14:textId="77777777" w:rsidR="00050071" w:rsidRDefault="006D2835">
            <w:r>
              <w:rPr>
                <w:rFonts w:ascii="Calibri" w:eastAsia="Calibri" w:hAnsi="Calibri" w:cs="Calibri"/>
                <w:sz w:val="19"/>
                <w:szCs w:val="19"/>
              </w:rPr>
              <w:t>Jinja</w:t>
            </w:r>
          </w:p>
        </w:tc>
        <w:tc>
          <w:tcPr>
            <w:tcW w:w="2000" w:type="dxa"/>
          </w:tcPr>
          <w:p w14:paraId="176A26CF" w14:textId="77777777" w:rsidR="00050071" w:rsidRDefault="006D2835">
            <w:r>
              <w:rPr>
                <w:rFonts w:ascii="Calibri" w:eastAsia="Calibri" w:hAnsi="Calibri" w:cs="Calibri"/>
                <w:sz w:val="19"/>
                <w:szCs w:val="19"/>
              </w:rPr>
              <w:t>0.449</w:t>
            </w:r>
          </w:p>
        </w:tc>
        <w:tc>
          <w:tcPr>
            <w:tcW w:w="2000" w:type="dxa"/>
          </w:tcPr>
          <w:p w14:paraId="5E5F96C8" w14:textId="77777777" w:rsidR="00050071" w:rsidRDefault="006D2835">
            <w:r>
              <w:rPr>
                <w:rFonts w:ascii="Calibri" w:eastAsia="Calibri" w:hAnsi="Calibri" w:cs="Calibri"/>
                <w:sz w:val="19"/>
                <w:szCs w:val="19"/>
              </w:rPr>
              <w:t>0.263</w:t>
            </w:r>
          </w:p>
        </w:tc>
      </w:tr>
      <w:tr w:rsidR="00050071" w14:paraId="272DBFEC" w14:textId="77777777">
        <w:tblPrEx>
          <w:tblCellMar>
            <w:top w:w="0" w:type="dxa"/>
            <w:bottom w:w="0" w:type="dxa"/>
          </w:tblCellMar>
        </w:tblPrEx>
        <w:tc>
          <w:tcPr>
            <w:tcW w:w="3600" w:type="dxa"/>
          </w:tcPr>
          <w:p w14:paraId="6E78F232" w14:textId="77777777" w:rsidR="00050071" w:rsidRDefault="006D2835">
            <w:r>
              <w:rPr>
                <w:rFonts w:ascii="Calibri" w:eastAsia="Calibri" w:hAnsi="Calibri" w:cs="Calibri"/>
                <w:sz w:val="19"/>
                <w:szCs w:val="19"/>
              </w:rPr>
              <w:t>Eldoret</w:t>
            </w:r>
          </w:p>
        </w:tc>
        <w:tc>
          <w:tcPr>
            <w:tcW w:w="2000" w:type="dxa"/>
          </w:tcPr>
          <w:p w14:paraId="30F06093" w14:textId="77777777" w:rsidR="00050071" w:rsidRDefault="006D2835">
            <w:r>
              <w:rPr>
                <w:rFonts w:ascii="Calibri" w:eastAsia="Calibri" w:hAnsi="Calibri" w:cs="Calibri"/>
                <w:sz w:val="19"/>
                <w:szCs w:val="19"/>
              </w:rPr>
              <w:t>0.447</w:t>
            </w:r>
          </w:p>
        </w:tc>
        <w:tc>
          <w:tcPr>
            <w:tcW w:w="2000" w:type="dxa"/>
          </w:tcPr>
          <w:p w14:paraId="10B5BD59" w14:textId="77777777" w:rsidR="00050071" w:rsidRDefault="006D2835">
            <w:r>
              <w:rPr>
                <w:rFonts w:ascii="Calibri" w:eastAsia="Calibri" w:hAnsi="Calibri" w:cs="Calibri"/>
                <w:sz w:val="19"/>
                <w:szCs w:val="19"/>
              </w:rPr>
              <w:t>0.260</w:t>
            </w:r>
          </w:p>
        </w:tc>
      </w:tr>
    </w:tbl>
    <w:p w14:paraId="21288A3E" w14:textId="77777777" w:rsidR="00050071" w:rsidRDefault="00050071">
      <w:pPr>
        <w:spacing w:after="6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tblGrid>
      <w:tr w:rsidR="00050071" w14:paraId="47943F45" w14:textId="77777777">
        <w:tblPrEx>
          <w:tblCellMar>
            <w:top w:w="0" w:type="dxa"/>
            <w:bottom w:w="0" w:type="dxa"/>
          </w:tblCellMar>
        </w:tblPrEx>
        <w:tc>
          <w:tcPr>
            <w:tcW w:w="3600" w:type="dxa"/>
            <w:shd w:val="clear" w:color="auto" w:fill="D9E2F3"/>
          </w:tcPr>
          <w:p w14:paraId="2B4C2745" w14:textId="77777777" w:rsidR="00050071" w:rsidRDefault="006D2835">
            <w:r>
              <w:rPr>
                <w:rFonts w:ascii="Calibri" w:eastAsia="Calibri" w:hAnsi="Calibri" w:cs="Calibri"/>
                <w:b/>
                <w:bCs/>
                <w:sz w:val="19"/>
                <w:szCs w:val="19"/>
              </w:rPr>
              <w:t>Segment</w:t>
            </w:r>
          </w:p>
        </w:tc>
        <w:tc>
          <w:tcPr>
            <w:tcW w:w="2000" w:type="dxa"/>
            <w:shd w:val="clear" w:color="auto" w:fill="D9E2F3"/>
          </w:tcPr>
          <w:p w14:paraId="238B4521" w14:textId="77777777" w:rsidR="00050071" w:rsidRDefault="006D2835">
            <w:r>
              <w:rPr>
                <w:rFonts w:ascii="Calibri" w:eastAsia="Calibri" w:hAnsi="Calibri" w:cs="Calibri"/>
                <w:b/>
                <w:bCs/>
                <w:sz w:val="19"/>
                <w:szCs w:val="19"/>
              </w:rPr>
              <w:t>Approval rate</w:t>
            </w:r>
          </w:p>
        </w:tc>
        <w:tc>
          <w:tcPr>
            <w:tcW w:w="2000" w:type="dxa"/>
            <w:shd w:val="clear" w:color="auto" w:fill="D9E2F3"/>
          </w:tcPr>
          <w:p w14:paraId="30E7CC45" w14:textId="77777777" w:rsidR="00050071" w:rsidRDefault="006D2835">
            <w:r>
              <w:rPr>
                <w:rFonts w:ascii="Calibri" w:eastAsia="Calibri" w:hAnsi="Calibri" w:cs="Calibri"/>
                <w:b/>
                <w:bCs/>
                <w:sz w:val="19"/>
                <w:szCs w:val="19"/>
              </w:rPr>
              <w:t>False-negative rate</w:t>
            </w:r>
          </w:p>
        </w:tc>
      </w:tr>
      <w:tr w:rsidR="00050071" w14:paraId="55FF52F2" w14:textId="77777777">
        <w:tblPrEx>
          <w:tblCellMar>
            <w:top w:w="0" w:type="dxa"/>
            <w:bottom w:w="0" w:type="dxa"/>
          </w:tblCellMar>
        </w:tblPrEx>
        <w:tc>
          <w:tcPr>
            <w:tcW w:w="3600" w:type="dxa"/>
          </w:tcPr>
          <w:p w14:paraId="1D4C097E" w14:textId="77777777" w:rsidR="00050071" w:rsidRDefault="006D2835">
            <w:r>
              <w:rPr>
                <w:rFonts w:ascii="Calibri" w:eastAsia="Calibri" w:hAnsi="Calibri" w:cs="Calibri"/>
                <w:sz w:val="19"/>
                <w:szCs w:val="19"/>
              </w:rPr>
              <w:t>Retail</w:t>
            </w:r>
          </w:p>
        </w:tc>
        <w:tc>
          <w:tcPr>
            <w:tcW w:w="2000" w:type="dxa"/>
          </w:tcPr>
          <w:p w14:paraId="0914EEEF" w14:textId="77777777" w:rsidR="00050071" w:rsidRDefault="006D2835">
            <w:r>
              <w:rPr>
                <w:rFonts w:ascii="Calibri" w:eastAsia="Calibri" w:hAnsi="Calibri" w:cs="Calibri"/>
                <w:sz w:val="19"/>
                <w:szCs w:val="19"/>
              </w:rPr>
              <w:t>0.448</w:t>
            </w:r>
          </w:p>
        </w:tc>
        <w:tc>
          <w:tcPr>
            <w:tcW w:w="2000" w:type="dxa"/>
          </w:tcPr>
          <w:p w14:paraId="031EF73B" w14:textId="77777777" w:rsidR="00050071" w:rsidRDefault="006D2835">
            <w:r>
              <w:rPr>
                <w:rFonts w:ascii="Calibri" w:eastAsia="Calibri" w:hAnsi="Calibri" w:cs="Calibri"/>
                <w:sz w:val="19"/>
                <w:szCs w:val="19"/>
              </w:rPr>
              <w:t>0.272</w:t>
            </w:r>
          </w:p>
        </w:tc>
      </w:tr>
      <w:tr w:rsidR="00050071" w14:paraId="54407FA2" w14:textId="77777777">
        <w:tblPrEx>
          <w:tblCellMar>
            <w:top w:w="0" w:type="dxa"/>
            <w:bottom w:w="0" w:type="dxa"/>
          </w:tblCellMar>
        </w:tblPrEx>
        <w:tc>
          <w:tcPr>
            <w:tcW w:w="3600" w:type="dxa"/>
          </w:tcPr>
          <w:p w14:paraId="3F1DF6D1" w14:textId="77777777" w:rsidR="00050071" w:rsidRDefault="006D2835">
            <w:r>
              <w:rPr>
                <w:rFonts w:ascii="Calibri" w:eastAsia="Calibri" w:hAnsi="Calibri" w:cs="Calibri"/>
                <w:sz w:val="19"/>
                <w:szCs w:val="19"/>
              </w:rPr>
              <w:t>Merchant</w:t>
            </w:r>
          </w:p>
        </w:tc>
        <w:tc>
          <w:tcPr>
            <w:tcW w:w="2000" w:type="dxa"/>
          </w:tcPr>
          <w:p w14:paraId="7B9285CA" w14:textId="77777777" w:rsidR="00050071" w:rsidRDefault="006D2835">
            <w:r>
              <w:rPr>
                <w:rFonts w:ascii="Calibri" w:eastAsia="Calibri" w:hAnsi="Calibri" w:cs="Calibri"/>
                <w:sz w:val="19"/>
                <w:szCs w:val="19"/>
              </w:rPr>
              <w:t>0.454</w:t>
            </w:r>
          </w:p>
        </w:tc>
        <w:tc>
          <w:tcPr>
            <w:tcW w:w="2000" w:type="dxa"/>
          </w:tcPr>
          <w:p w14:paraId="3F239CBB" w14:textId="77777777" w:rsidR="00050071" w:rsidRDefault="006D2835">
            <w:r>
              <w:rPr>
                <w:rFonts w:ascii="Calibri" w:eastAsia="Calibri" w:hAnsi="Calibri" w:cs="Calibri"/>
                <w:sz w:val="19"/>
                <w:szCs w:val="19"/>
              </w:rPr>
              <w:t>0.267</w:t>
            </w:r>
          </w:p>
        </w:tc>
      </w:tr>
      <w:tr w:rsidR="00050071" w14:paraId="1B3ACB93" w14:textId="77777777">
        <w:tblPrEx>
          <w:tblCellMar>
            <w:top w:w="0" w:type="dxa"/>
            <w:bottom w:w="0" w:type="dxa"/>
          </w:tblCellMar>
        </w:tblPrEx>
        <w:tc>
          <w:tcPr>
            <w:tcW w:w="3600" w:type="dxa"/>
          </w:tcPr>
          <w:p w14:paraId="496D518D" w14:textId="77777777" w:rsidR="00050071" w:rsidRDefault="006D2835">
            <w:r>
              <w:rPr>
                <w:rFonts w:ascii="Calibri" w:eastAsia="Calibri" w:hAnsi="Calibri" w:cs="Calibri"/>
                <w:sz w:val="19"/>
                <w:szCs w:val="19"/>
              </w:rPr>
              <w:t>Agent</w:t>
            </w:r>
          </w:p>
        </w:tc>
        <w:tc>
          <w:tcPr>
            <w:tcW w:w="2000" w:type="dxa"/>
          </w:tcPr>
          <w:p w14:paraId="01DE770D" w14:textId="77777777" w:rsidR="00050071" w:rsidRDefault="006D2835">
            <w:r>
              <w:rPr>
                <w:rFonts w:ascii="Calibri" w:eastAsia="Calibri" w:hAnsi="Calibri" w:cs="Calibri"/>
                <w:sz w:val="19"/>
                <w:szCs w:val="19"/>
              </w:rPr>
              <w:t>0.454</w:t>
            </w:r>
          </w:p>
        </w:tc>
        <w:tc>
          <w:tcPr>
            <w:tcW w:w="2000" w:type="dxa"/>
          </w:tcPr>
          <w:p w14:paraId="4E89E59E" w14:textId="77777777" w:rsidR="00050071" w:rsidRDefault="006D2835">
            <w:r>
              <w:rPr>
                <w:rFonts w:ascii="Calibri" w:eastAsia="Calibri" w:hAnsi="Calibri" w:cs="Calibri"/>
                <w:sz w:val="19"/>
                <w:szCs w:val="19"/>
              </w:rPr>
              <w:t>0.242</w:t>
            </w:r>
          </w:p>
        </w:tc>
      </w:tr>
    </w:tbl>
    <w:p w14:paraId="39A08378" w14:textId="77777777" w:rsidR="00050071" w:rsidRDefault="00050071">
      <w:pPr>
        <w:spacing w:after="80"/>
      </w:pPr>
    </w:p>
    <w:p w14:paraId="5DE06DDB" w14:textId="77777777" w:rsidR="00050071" w:rsidRDefault="006D2835">
      <w:pPr>
        <w:spacing w:after="90"/>
      </w:pPr>
      <w:r>
        <w:rPr>
          <w:rFonts w:ascii="Calibri" w:eastAsia="Calibri" w:hAnsi="Calibri" w:cs="Calibri"/>
          <w:sz w:val="21"/>
          <w:szCs w:val="21"/>
        </w:rPr>
        <w:t xml:space="preserve">The spread across regions (0.260 to 0.285) and segments (0.242 to 0.272) is modest but not zero. region and segment are not fed to the model as protected attributes, but region correlates with the </w:t>
      </w:r>
      <w:proofErr w:type="spellStart"/>
      <w:r>
        <w:rPr>
          <w:rFonts w:ascii="Calibri" w:eastAsia="Calibri" w:hAnsi="Calibri" w:cs="Calibri"/>
          <w:sz w:val="21"/>
          <w:szCs w:val="21"/>
        </w:rPr>
        <w:t>agent_id</w:t>
      </w:r>
      <w:proofErr w:type="spellEnd"/>
      <w:r>
        <w:rPr>
          <w:rFonts w:ascii="Calibri" w:eastAsia="Calibri" w:hAnsi="Calibri" w:cs="Calibri"/>
          <w:sz w:val="21"/>
          <w:szCs w:val="21"/>
        </w:rPr>
        <w:t xml:space="preserve"> missingness pattern identified in the audit (Section 1 of the notebook) and could act as a proxy for something a regulator would want disclosed.</w:t>
      </w:r>
    </w:p>
    <w:p w14:paraId="05E34D8B" w14:textId="77777777" w:rsidR="00050071" w:rsidRDefault="006D2835">
      <w:pPr>
        <w:spacing w:after="90"/>
      </w:pPr>
      <w:r>
        <w:rPr>
          <w:rFonts w:ascii="Calibri" w:eastAsia="Calibri" w:hAnsi="Calibri" w:cs="Calibri"/>
          <w:sz w:val="21"/>
          <w:szCs w:val="21"/>
        </w:rPr>
        <w:lastRenderedPageBreak/>
        <w:t>The Central Bank of Kenya (Digital Credit Providers) Regulations, 2022 place the onus on a lender to carry out due diligence on a customer's ability to repay before advancing credit, and were introduced largely in response to consumer-protection failures such as opaque pricing and lending decisions borrowers could not question. That expectation implies a working model needs to support an individual, case-level reason for a decline, not just an aggregate accuracy number, which is what the local SHAP explanat</w:t>
      </w:r>
      <w:r>
        <w:rPr>
          <w:rFonts w:ascii="Calibri" w:eastAsia="Calibri" w:hAnsi="Calibri" w:cs="Calibri"/>
          <w:sz w:val="21"/>
          <w:szCs w:val="21"/>
        </w:rPr>
        <w:t>ion is for. Any region or segment with a materially higher false-negative rate than the rest is worth a second look before deployment, not because the model is necessarily unfair, but because an underwriting policy that misses one group's genuine defaults more often than another's is a discrimination risk regardless of intent.</w:t>
      </w:r>
    </w:p>
    <w:p w14:paraId="7C227EF2" w14:textId="77777777" w:rsidR="00050071" w:rsidRDefault="006D2835">
      <w:pPr>
        <w:pStyle w:val="Heading1"/>
        <w:spacing w:before="160" w:after="80"/>
      </w:pPr>
      <w:r>
        <w:t>7. Reproducibility</w:t>
      </w:r>
    </w:p>
    <w:p w14:paraId="526D059F" w14:textId="77777777" w:rsidR="00050071" w:rsidRDefault="006D2835">
      <w:pPr>
        <w:spacing w:after="90"/>
      </w:pPr>
      <w:r>
        <w:rPr>
          <w:rFonts w:ascii="Calibri" w:eastAsia="Calibri" w:hAnsi="Calibri" w:cs="Calibri"/>
          <w:sz w:val="21"/>
          <w:szCs w:val="21"/>
        </w:rPr>
        <w:t xml:space="preserve">All preprocessing (imputation, Yeo-Johnson power transform, robust scaling, one-hot encoding) is refit inside every CV fold via a single </w:t>
      </w:r>
      <w:proofErr w:type="spellStart"/>
      <w:r>
        <w:rPr>
          <w:rFonts w:ascii="Calibri" w:eastAsia="Calibri" w:hAnsi="Calibri" w:cs="Calibri"/>
          <w:sz w:val="21"/>
          <w:szCs w:val="21"/>
        </w:rPr>
        <w:t>ColumnTransformer</w:t>
      </w:r>
      <w:proofErr w:type="spellEnd"/>
      <w:r>
        <w:rPr>
          <w:rFonts w:ascii="Calibri" w:eastAsia="Calibri" w:hAnsi="Calibri" w:cs="Calibri"/>
          <w:sz w:val="21"/>
          <w:szCs w:val="21"/>
        </w:rPr>
        <w:t xml:space="preserve"> plus Pipeline, so no statistic crosses a train and test boundary. The </w:t>
      </w:r>
      <w:proofErr w:type="spellStart"/>
      <w:r>
        <w:rPr>
          <w:rFonts w:ascii="Calibri" w:eastAsia="Calibri" w:hAnsi="Calibri" w:cs="Calibri"/>
          <w:sz w:val="21"/>
          <w:szCs w:val="21"/>
        </w:rPr>
        <w:t>Optuna</w:t>
      </w:r>
      <w:proofErr w:type="spellEnd"/>
      <w:r>
        <w:rPr>
          <w:rFonts w:ascii="Calibri" w:eastAsia="Calibri" w:hAnsi="Calibri" w:cs="Calibri"/>
          <w:sz w:val="21"/>
          <w:szCs w:val="21"/>
        </w:rPr>
        <w:t xml:space="preserve"> study is persisted to </w:t>
      </w:r>
      <w:proofErr w:type="spellStart"/>
      <w:r>
        <w:rPr>
          <w:rFonts w:ascii="Calibri" w:eastAsia="Calibri" w:hAnsi="Calibri" w:cs="Calibri"/>
          <w:sz w:val="21"/>
          <w:szCs w:val="21"/>
        </w:rPr>
        <w:t>optuna_study.db</w:t>
      </w:r>
      <w:proofErr w:type="spellEnd"/>
      <w:r>
        <w:rPr>
          <w:rFonts w:ascii="Calibri" w:eastAsia="Calibri" w:hAnsi="Calibri" w:cs="Calibri"/>
          <w:sz w:val="21"/>
          <w:szCs w:val="21"/>
        </w:rPr>
        <w:t xml:space="preserve"> and the honest pipeline is saved with </w:t>
      </w:r>
      <w:proofErr w:type="spellStart"/>
      <w:r>
        <w:rPr>
          <w:rFonts w:ascii="Calibri" w:eastAsia="Calibri" w:hAnsi="Calibri" w:cs="Calibri"/>
          <w:sz w:val="21"/>
          <w:szCs w:val="21"/>
        </w:rPr>
        <w:t>joblib</w:t>
      </w:r>
      <w:proofErr w:type="spellEnd"/>
      <w:r>
        <w:rPr>
          <w:rFonts w:ascii="Calibri" w:eastAsia="Calibri" w:hAnsi="Calibri" w:cs="Calibri"/>
          <w:sz w:val="21"/>
          <w:szCs w:val="21"/>
        </w:rPr>
        <w:t xml:space="preserve"> and reloaded to confirm it scores cleanly. The one limitation carried forward from Section 1 is that the RFM features </w:t>
      </w:r>
      <w:proofErr w:type="spellStart"/>
      <w:r>
        <w:rPr>
          <w:rFonts w:ascii="Calibri" w:eastAsia="Calibri" w:hAnsi="Calibri" w:cs="Calibri"/>
          <w:sz w:val="21"/>
          <w:szCs w:val="21"/>
        </w:rPr>
        <w:t>summarise</w:t>
      </w:r>
      <w:proofErr w:type="spellEnd"/>
      <w:r>
        <w:rPr>
          <w:rFonts w:ascii="Calibri" w:eastAsia="Calibri" w:hAnsi="Calibri" w:cs="Calibri"/>
          <w:sz w:val="21"/>
          <w:szCs w:val="21"/>
        </w:rPr>
        <w:t xml:space="preserve"> each customer's whole pre-scoring history, so the purged and blocked CV here controls for split structure but not for that feature-level hindsight; a genuinely rolling feature store would be needed before t</w:t>
      </w:r>
      <w:r>
        <w:rPr>
          <w:rFonts w:ascii="Calibri" w:eastAsia="Calibri" w:hAnsi="Calibri" w:cs="Calibri"/>
          <w:sz w:val="21"/>
          <w:szCs w:val="21"/>
        </w:rPr>
        <w:t>his evaluation number could be quoted to a regulator as an unbiased forward-looking estimate.</w:t>
      </w:r>
    </w:p>
    <w:p w14:paraId="3B7D7A68" w14:textId="77777777" w:rsidR="00050071" w:rsidRDefault="006D2835">
      <w:pPr>
        <w:pStyle w:val="Heading1"/>
        <w:spacing w:before="160" w:after="80"/>
      </w:pPr>
      <w:r>
        <w:t>Recommendation</w:t>
      </w:r>
    </w:p>
    <w:p w14:paraId="57CDB2DC" w14:textId="77777777" w:rsidR="00050071" w:rsidRDefault="006D2835">
      <w:pPr>
        <w:spacing w:after="90"/>
      </w:pPr>
      <w:r>
        <w:rPr>
          <w:rFonts w:ascii="Calibri" w:eastAsia="Calibri" w:hAnsi="Calibri" w:cs="Calibri"/>
          <w:sz w:val="21"/>
          <w:szCs w:val="21"/>
        </w:rPr>
        <w:t xml:space="preserve">The model recommended for deployment is the tuned, Platt-calibrated </w:t>
      </w:r>
      <w:proofErr w:type="spellStart"/>
      <w:r>
        <w:rPr>
          <w:rFonts w:ascii="Calibri" w:eastAsia="Calibri" w:hAnsi="Calibri" w:cs="Calibri"/>
          <w:sz w:val="21"/>
          <w:szCs w:val="21"/>
        </w:rPr>
        <w:t>XGBoost</w:t>
      </w:r>
      <w:proofErr w:type="spellEnd"/>
      <w:r>
        <w:rPr>
          <w:rFonts w:ascii="Calibri" w:eastAsia="Calibri" w:hAnsi="Calibri" w:cs="Calibri"/>
          <w:sz w:val="21"/>
          <w:szCs w:val="21"/>
        </w:rPr>
        <w:t xml:space="preserve"> from Sections 4 and 5. It matches or beats the untuned ladder's PR-AUC, its probabilities are genuinely interpretable after calibration (Brier score roughly halved, from 0.176 to 0.076), and it is the only one of the three models with both a working SHAP explainer and the flexibility to be re-tuned as new data arrives. The recommended threshold is the calibrated cost-optimal cut-off of 0.10, not the naive 0.5: it directly </w:t>
      </w:r>
      <w:proofErr w:type="spellStart"/>
      <w:r>
        <w:rPr>
          <w:rFonts w:ascii="Calibri" w:eastAsia="Calibri" w:hAnsi="Calibri" w:cs="Calibri"/>
          <w:sz w:val="21"/>
          <w:szCs w:val="21"/>
        </w:rPr>
        <w:t>minimises</w:t>
      </w:r>
      <w:proofErr w:type="spellEnd"/>
      <w:r>
        <w:rPr>
          <w:rFonts w:ascii="Calibri" w:eastAsia="Calibri" w:hAnsi="Calibri" w:cs="Calibri"/>
          <w:sz w:val="21"/>
          <w:szCs w:val="21"/>
        </w:rPr>
        <w:t xml:space="preserve"> the KES 10,000 versus KES 800 cost asymmetry and saves an estimated </w:t>
      </w:r>
      <w:r>
        <w:rPr>
          <w:rFonts w:ascii="Calibri" w:eastAsia="Calibri" w:hAnsi="Calibri" w:cs="Calibri"/>
          <w:sz w:val="21"/>
          <w:szCs w:val="21"/>
        </w:rPr>
        <w:t xml:space="preserve">KES 224,381 per 1,000 applications over the naive threshold. Before this pairing goes live, the customer-overlap limitation in Section 1 and the regional false-negative spread in Section 6 should both be re-checked against a feature pipeline that does not </w:t>
      </w:r>
      <w:proofErr w:type="spellStart"/>
      <w:r>
        <w:rPr>
          <w:rFonts w:ascii="Calibri" w:eastAsia="Calibri" w:hAnsi="Calibri" w:cs="Calibri"/>
          <w:sz w:val="21"/>
          <w:szCs w:val="21"/>
        </w:rPr>
        <w:t>summarise</w:t>
      </w:r>
      <w:proofErr w:type="spellEnd"/>
      <w:r>
        <w:rPr>
          <w:rFonts w:ascii="Calibri" w:eastAsia="Calibri" w:hAnsi="Calibri" w:cs="Calibri"/>
          <w:sz w:val="21"/>
          <w:szCs w:val="21"/>
        </w:rPr>
        <w:t xml:space="preserve"> a customer's full history in a single snapshot.</w:t>
      </w:r>
    </w:p>
    <w:sectPr w:rsidR="00050071">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73554"/>
    <w:multiLevelType w:val="hybridMultilevel"/>
    <w:tmpl w:val="769808B4"/>
    <w:lvl w:ilvl="0" w:tplc="31F28724">
      <w:start w:val="1"/>
      <w:numFmt w:val="bullet"/>
      <w:lvlText w:val="●"/>
      <w:lvlJc w:val="left"/>
      <w:pPr>
        <w:ind w:left="720" w:hanging="360"/>
      </w:pPr>
    </w:lvl>
    <w:lvl w:ilvl="1" w:tplc="0240A9A6">
      <w:start w:val="1"/>
      <w:numFmt w:val="bullet"/>
      <w:lvlText w:val="○"/>
      <w:lvlJc w:val="left"/>
      <w:pPr>
        <w:ind w:left="1440" w:hanging="360"/>
      </w:pPr>
    </w:lvl>
    <w:lvl w:ilvl="2" w:tplc="C714ED00">
      <w:start w:val="1"/>
      <w:numFmt w:val="bullet"/>
      <w:lvlText w:val="■"/>
      <w:lvlJc w:val="left"/>
      <w:pPr>
        <w:ind w:left="2160" w:hanging="360"/>
      </w:pPr>
    </w:lvl>
    <w:lvl w:ilvl="3" w:tplc="99C23B0E">
      <w:start w:val="1"/>
      <w:numFmt w:val="bullet"/>
      <w:lvlText w:val="●"/>
      <w:lvlJc w:val="left"/>
      <w:pPr>
        <w:ind w:left="2880" w:hanging="360"/>
      </w:pPr>
    </w:lvl>
    <w:lvl w:ilvl="4" w:tplc="F98ADEFE">
      <w:start w:val="1"/>
      <w:numFmt w:val="bullet"/>
      <w:lvlText w:val="○"/>
      <w:lvlJc w:val="left"/>
      <w:pPr>
        <w:ind w:left="3600" w:hanging="360"/>
      </w:pPr>
    </w:lvl>
    <w:lvl w:ilvl="5" w:tplc="79B6DDFC">
      <w:start w:val="1"/>
      <w:numFmt w:val="bullet"/>
      <w:lvlText w:val="■"/>
      <w:lvlJc w:val="left"/>
      <w:pPr>
        <w:ind w:left="4320" w:hanging="360"/>
      </w:pPr>
    </w:lvl>
    <w:lvl w:ilvl="6" w:tplc="B0BCCB92">
      <w:start w:val="1"/>
      <w:numFmt w:val="bullet"/>
      <w:lvlText w:val="●"/>
      <w:lvlJc w:val="left"/>
      <w:pPr>
        <w:ind w:left="5040" w:hanging="360"/>
      </w:pPr>
    </w:lvl>
    <w:lvl w:ilvl="7" w:tplc="36F49E18">
      <w:start w:val="1"/>
      <w:numFmt w:val="bullet"/>
      <w:lvlText w:val="●"/>
      <w:lvlJc w:val="left"/>
      <w:pPr>
        <w:ind w:left="5760" w:hanging="360"/>
      </w:pPr>
    </w:lvl>
    <w:lvl w:ilvl="8" w:tplc="7AEAD2FA">
      <w:start w:val="1"/>
      <w:numFmt w:val="bullet"/>
      <w:lvlText w:val="●"/>
      <w:lvlJc w:val="left"/>
      <w:pPr>
        <w:ind w:left="6480" w:hanging="360"/>
      </w:pPr>
    </w:lvl>
  </w:abstractNum>
  <w:num w:numId="1" w16cid:durableId="1378774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71"/>
    <w:rsid w:val="00050071"/>
    <w:rsid w:val="00477E2D"/>
    <w:rsid w:val="006D2835"/>
    <w:rsid w:val="00817F7D"/>
    <w:rsid w:val="00B46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DB41"/>
  <w15:docId w15:val="{054074BB-1427-439D-99CF-C5E1B5BE8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1623</Words>
  <Characters>9252</Characters>
  <Application>Microsoft Office Word</Application>
  <DocSecurity>0</DocSecurity>
  <Lines>77</Lines>
  <Paragraphs>21</Paragraphs>
  <ScaleCrop>false</ScaleCrop>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Wanjiru Njogu</cp:lastModifiedBy>
  <cp:revision>2</cp:revision>
  <dcterms:created xsi:type="dcterms:W3CDTF">2026-09-07T13:58:00Z</dcterms:created>
  <dcterms:modified xsi:type="dcterms:W3CDTF">2026-09-07T13:58:00Z</dcterms:modified>
</cp:coreProperties>
</file>