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>
          <w:b w:val="1"/>
          <w:bCs w:val="1"/>
          <w:color w:val="1f386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30"/>
          <w:szCs w:val="30"/>
          <w:rtl w:val="0"/>
        </w:rPr>
        <w:t xml:space="preserve">LifeLink AI — Milestone-2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9"/>
          <w:szCs w:val="19"/>
          <w:rtl w:val="0"/>
        </w:rPr>
        <w:t xml:space="preserve">AI-Powered Blood Supply Prediction &amp; Network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Rule="auto"/>
        <w:jc w:val="center"/>
        <w:rPr>
          <w:color w:val="595959"/>
          <w:sz w:val="17"/>
          <w:szCs w:val="17"/>
        </w:rPr>
      </w:pPr>
      <w:r w:rsidDel="00000000" w:rsidR="00000000" w:rsidRPr="00000000">
        <w:rPr>
          <w:color w:val="595959"/>
          <w:sz w:val="17"/>
          <w:szCs w:val="17"/>
          <w:rtl w:val="0"/>
        </w:rPr>
        <w:t xml:space="preserve">Team LifeLink — V S SANTHOSH (E23CSEU1150) · BHANUTEJA PADAMATA (E23CSEU1144)</w:t>
      </w:r>
    </w:p>
    <w:p w:rsidR="00000000" w:rsidDel="00000000" w:rsidP="00000000" w:rsidRDefault="00000000" w:rsidRPr="00000000" w14:paraId="00000005">
      <w:pPr>
        <w:spacing w:after="140" w:lineRule="auto"/>
        <w:jc w:val="center"/>
        <w:rPr>
          <w:color w:val="59595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bottom w:color="1f3864" w:space="2" w:sz="6" w:val="single"/>
        </w:pBdr>
        <w:spacing w:after="6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1. Review of Existing Systems &amp; Feasibility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90" w:lineRule="auto"/>
        <w:rPr/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Traditional blood supply chains rely on five failure-prone practices: decentralized (s,S) inventory buffers causing localized hoarding and simultaneous regional shortages; ad-hoc courier requests instead of coordinated transfers; broadcast SMS donor outreach causing fatigue and ignoring 90-day rest cycles; ARIMA/moving-average demand forecasts that miss trauma surges and epidemics; and zero-stock alarms that trigger too late for response.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90" w:lineRule="auto"/>
        <w:rPr/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LifeLink AI replaces each with a targeted module: a global MILP transshipment engine (inventory), 75-feature XGBoost regression (demand), calibrated early-warning classification at 24/48/72h (shortage), and MCDA-based donor scoring (donor dispatch).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>
          <w:color w:val="222222"/>
          <w:sz w:val="18"/>
          <w:szCs w:val="18"/>
        </w:rPr>
      </w:pPr>
      <w:r w:rsidDel="00000000" w:rsidR="00000000" w:rsidRPr="00000000">
        <w:rPr>
          <w:b w:val="1"/>
          <w:bCs w:val="1"/>
          <w:color w:val="1f3864"/>
          <w:sz w:val="18"/>
          <w:szCs w:val="18"/>
          <w:rtl w:val="0"/>
        </w:rPr>
        <w:t xml:space="preserve">Feasibility (all rated High):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59" w:lineRule="auto"/>
        <w:ind w:left="360"/>
        <w:rPr>
          <w:rFonts w:ascii="Noto Sans Symbols" w:cs="Noto Sans Symbols" w:eastAsia="Noto Sans Symbols" w:hAnsi="Noto Sans Symbols"/>
          <w:color w:val="1e293b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16"/>
          <w:szCs w:val="16"/>
          <w:rtl w:val="0"/>
        </w:rPr>
        <w:t xml:space="preserve">Technical: </w:t>
      </w:r>
      <w:r w:rsidDel="00000000" w:rsidR="00000000" w:rsidRPr="00000000">
        <w:rPr>
          <w:rFonts w:ascii="Arial" w:cs="Arial" w:eastAsia="Arial" w:hAnsi="Arial"/>
          <w:color w:val="1e293b"/>
          <w:sz w:val="16"/>
          <w:szCs w:val="16"/>
          <w:rtl w:val="0"/>
        </w:rPr>
        <w:t xml:space="preserve">Open-source stack (Python 3.12, FastAPI, XGBoost, OR-Tools, Next.js 14). 12/12 API endpoints validated.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59" w:lineRule="auto"/>
        <w:ind w:left="360"/>
        <w:rPr>
          <w:rFonts w:ascii="Noto Sans Symbols" w:cs="Noto Sans Symbols" w:eastAsia="Noto Sans Symbols" w:hAnsi="Noto Sans Symbols"/>
          <w:color w:val="1e293b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16"/>
          <w:szCs w:val="16"/>
          <w:rtl w:val="0"/>
        </w:rPr>
        <w:t xml:space="preserve">Data: </w:t>
      </w:r>
      <w:r w:rsidDel="00000000" w:rsidR="00000000" w:rsidRPr="00000000">
        <w:rPr>
          <w:rFonts w:ascii="Arial" w:cs="Arial" w:eastAsia="Arial" w:hAnsi="Arial"/>
          <w:color w:val="1e293b"/>
          <w:sz w:val="16"/>
          <w:szCs w:val="16"/>
          <w:rtl w:val="0"/>
        </w:rPr>
        <w:t xml:space="preserve">Validated on 700,800 synthetic data points (30 hospitals, 10 blood banks, 5,000 donors, 400k batches, 730 days).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59" w:lineRule="auto"/>
        <w:ind w:left="360"/>
        <w:rPr>
          <w:rFonts w:ascii="Noto Sans Symbols" w:cs="Noto Sans Symbols" w:eastAsia="Noto Sans Symbols" w:hAnsi="Noto Sans Symbols"/>
          <w:color w:val="1e293b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16"/>
          <w:szCs w:val="16"/>
          <w:rtl w:val="0"/>
        </w:rPr>
        <w:t xml:space="preserve">Algorithmic: </w:t>
      </w:r>
      <w:r w:rsidDel="00000000" w:rsidR="00000000" w:rsidRPr="00000000">
        <w:rPr>
          <w:rFonts w:ascii="Arial" w:cs="Arial" w:eastAsia="Arial" w:hAnsi="Arial"/>
          <w:color w:val="1e293b"/>
          <w:sz w:val="16"/>
          <w:szCs w:val="16"/>
          <w:rtl w:val="0"/>
        </w:rPr>
        <w:t xml:space="preserve">Gradient-boosted trees for non-linear tabular dynamics; branch-and-cut MILP for constraint satisfaction.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" w:line="259" w:lineRule="auto"/>
        <w:ind w:left="360"/>
        <w:rPr>
          <w:rFonts w:ascii="Noto Sans Symbols" w:cs="Noto Sans Symbols" w:eastAsia="Noto Sans Symbols" w:hAnsi="Noto Sans Symbols"/>
          <w:color w:val="1e293b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16"/>
          <w:szCs w:val="16"/>
          <w:rtl w:val="0"/>
        </w:rPr>
        <w:t xml:space="preserve">Scalability / Deployment: </w:t>
      </w:r>
      <w:r w:rsidDel="00000000" w:rsidR="00000000" w:rsidRPr="00000000">
        <w:rPr>
          <w:rFonts w:ascii="Arial" w:cs="Arial" w:eastAsia="Arial" w:hAnsi="Arial"/>
          <w:color w:val="1e293b"/>
          <w:sz w:val="16"/>
          <w:szCs w:val="16"/>
          <w:rtl w:val="0"/>
        </w:rPr>
        <w:t xml:space="preserve">Scales to 100+ facilities; containerized microservices with zero licensing fees.</w:t>
      </w:r>
    </w:p>
    <w:p w:rsidR="00000000" w:rsidDel="00000000" w:rsidP="00000000" w:rsidRDefault="00000000" w:rsidRPr="00000000" w14:paraId="0000000E">
      <w:pPr>
        <w:spacing w:after="20" w:line="259" w:lineRule="auto"/>
        <w:ind w:left="720" w:firstLine="0"/>
        <w:rPr>
          <w:rFonts w:ascii="Arial" w:cs="Arial" w:eastAsia="Arial" w:hAnsi="Arial"/>
          <w:color w:val="1e293b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12.0" w:type="dxa"/>
        <w:jc w:val="center"/>
        <w:tblBorders>
          <w:top w:color="cbd5e1" w:space="0" w:sz="4" w:val="single"/>
          <w:left w:color="000000" w:space="0" w:sz="0" w:val="nil"/>
          <w:bottom w:color="cbd5e1" w:space="0" w:sz="4" w:val="single"/>
          <w:right w:color="000000" w:space="0" w:sz="0" w:val="nil"/>
          <w:insideH w:color="cbd5e1" w:space="0" w:sz="4" w:val="single"/>
          <w:insideV w:color="000000" w:space="0" w:sz="0" w:val="nil"/>
        </w:tblBorders>
        <w:tblLayout w:type="fixed"/>
        <w:tblLook w:val="0400"/>
      </w:tblPr>
      <w:tblGrid>
        <w:gridCol w:w="2628"/>
        <w:gridCol w:w="2628"/>
        <w:gridCol w:w="2628"/>
        <w:gridCol w:w="2628"/>
        <w:tblGridChange w:id="0">
          <w:tblGrid>
            <w:gridCol w:w="2628"/>
            <w:gridCol w:w="2628"/>
            <w:gridCol w:w="2628"/>
            <w:gridCol w:w="2628"/>
          </w:tblGrid>
        </w:tblGridChange>
      </w:tblGrid>
      <w:tr>
        <w:trPr>
          <w:cantSplit w:val="0"/>
          <w:tblHeader w:val="0"/>
        </w:trPr>
        <w:tc>
          <w:tcPr>
            <w:shd w:fill="0f172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spacing w:line="2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spacing w:line="2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Traditional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pacing w:line="2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Core Failure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f172a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spacing w:line="2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LifeLink AI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spacing w:line="2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5"/>
                <w:szCs w:val="15"/>
                <w:rtl w:val="0"/>
              </w:rPr>
              <w:t xml:space="preserve">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spacing w:line="2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5"/>
                <w:szCs w:val="15"/>
                <w:rtl w:val="0"/>
              </w:rPr>
              <w:t xml:space="preserve">Independent (s,S) min-max buffers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spacing w:line="2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5"/>
                <w:szCs w:val="15"/>
                <w:rtl w:val="0"/>
              </w:rPr>
              <w:t xml:space="preserve">Localized hoarding; concurrent regional shortages &amp; waste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line="2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5"/>
                <w:szCs w:val="15"/>
                <w:rtl w:val="0"/>
              </w:rPr>
              <w:t xml:space="preserve">Engine 4 MILP: Global transshipment with safety floors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line="2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5"/>
                <w:szCs w:val="15"/>
                <w:rtl w:val="0"/>
              </w:rPr>
              <w:t xml:space="preserve">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pacing w:line="2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5"/>
                <w:szCs w:val="15"/>
                <w:rtl w:val="0"/>
              </w:rPr>
              <w:t xml:space="preserve">Moving averages / ARIMA (Autoregressive Integrated Moving Average)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spacing w:line="2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5"/>
                <w:szCs w:val="15"/>
                <w:rtl w:val="0"/>
              </w:rPr>
              <w:t xml:space="preserve">Fails on surgical dips, trauma surges, epidemics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spacing w:line="2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5"/>
                <w:szCs w:val="15"/>
                <w:rtl w:val="0"/>
              </w:rPr>
              <w:t xml:space="preserve">Model 1: 75-feature XGBoost multi-horizon regression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spacing w:line="2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5"/>
                <w:szCs w:val="15"/>
                <w:rtl w:val="0"/>
              </w:rPr>
              <w:t xml:space="preserve">Shortage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spacing w:line="2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5"/>
                <w:szCs w:val="15"/>
                <w:rtl w:val="0"/>
              </w:rPr>
              <w:t xml:space="preserve">Alarm at zero 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spacing w:line="2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5"/>
                <w:szCs w:val="15"/>
                <w:rtl w:val="0"/>
              </w:rPr>
              <w:t xml:space="preserve">Too late for courier or donor mobilization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line="2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5"/>
                <w:szCs w:val="15"/>
                <w:rtl w:val="0"/>
              </w:rPr>
              <w:t xml:space="preserve">Model 2: Calibrated probabilistic early warning (24/48/72h)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line="2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5"/>
                <w:szCs w:val="15"/>
                <w:rtl w:val="0"/>
              </w:rPr>
              <w:t xml:space="preserve">Donor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line="2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5"/>
                <w:szCs w:val="15"/>
                <w:rtl w:val="0"/>
              </w:rPr>
              <w:t xml:space="preserve">Broadcast bulk SMS to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line="2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5"/>
                <w:szCs w:val="15"/>
                <w:rtl w:val="0"/>
              </w:rPr>
              <w:t xml:space="preserve">Donor fatigue; ignores proximity &amp; 90-day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line="259" w:lineRule="auto"/>
              <w:rPr>
                <w:rFonts w:ascii="Arial" w:cs="Arial" w:eastAsia="Arial" w:hAnsi="Arial"/>
                <w:color w:val="1e293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15"/>
                <w:szCs w:val="15"/>
                <w:rtl w:val="0"/>
              </w:rPr>
              <w:t xml:space="preserve">Model 3: MCDA (Multiple-Criteria Decision Analysis) scoring (distance, response, compatibility)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pBdr>
          <w:bottom w:color="1f3864" w:space="2" w:sz="6" w:val="single"/>
        </w:pBdr>
        <w:spacing w:after="6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2. Objectives &amp;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90" w:lineRule="auto"/>
        <w:rPr>
          <w:color w:val="222222"/>
          <w:sz w:val="18"/>
          <w:szCs w:val="18"/>
        </w:rPr>
      </w:pPr>
      <w:r w:rsidDel="00000000" w:rsidR="00000000" w:rsidRPr="00000000">
        <w:rPr>
          <w:b w:val="1"/>
          <w:bCs w:val="1"/>
          <w:color w:val="1f3864"/>
          <w:sz w:val="18"/>
          <w:szCs w:val="18"/>
          <w:rtl w:val="0"/>
        </w:rPr>
        <w:t xml:space="preserve">Core targets: </w:t>
      </w:r>
      <w:r w:rsidDel="00000000" w:rsidR="00000000" w:rsidRPr="00000000">
        <w:rPr>
          <w:rFonts w:ascii="Gungsuh" w:cs="Gungsuh" w:eastAsia="Gungsuh" w:hAnsi="Gungsuh"/>
          <w:color w:val="222222"/>
          <w:sz w:val="18"/>
          <w:szCs w:val="18"/>
          <w:rtl w:val="0"/>
        </w:rPr>
        <w:t xml:space="preserve">≥40% reduction in unfulfilled requisitions across 30 hospitals; &lt;5% FEFO (First Expired, First Out) expiry rate; MILP (Mixed-Integer Linear Programming) solve time &lt;3 s; donor ranking &lt;50 ms; a real-time Next.js 14 GIS (Geographic Information System) command center.</w:t>
      </w:r>
    </w:p>
    <w:p w:rsidR="00000000" w:rsidDel="00000000" w:rsidP="00000000" w:rsidRDefault="00000000" w:rsidRPr="00000000" w14:paraId="00000025">
      <w:pPr>
        <w:spacing w:after="90" w:lineRule="auto"/>
        <w:rPr>
          <w:color w:val="222222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2300"/>
        <w:gridCol w:w="4260"/>
        <w:tblGridChange w:id="0">
          <w:tblGrid>
            <w:gridCol w:w="1900"/>
            <w:gridCol w:w="2300"/>
            <w:gridCol w:w="426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Model 1: Demand Forecast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Multi-step XGBoost 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Predict 24/48/72h demand per hospital × blood group × 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Model 2: Shortage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Calibrated (isotonic) XGBoost classifier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Flag high-risk shortage probability before depletion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Model 3: Donor Ranker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MCDA (Multiple-Criteria Decision Analysis)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Rank donors by proximity, latency, compatibility, eligibility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Engine 4: Optimizer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OR-Tools MILP (branch-and-cut)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Optimal multi-echelon transshipment with FEFO + safety floors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pBdr>
          <w:bottom w:color="1f3864" w:space="2" w:sz="6" w:val="single"/>
        </w:pBdr>
        <w:spacing w:after="60" w:before="160" w:lineRule="auto"/>
        <w:rPr>
          <w:b w:val="1"/>
          <w:bCs w:val="1"/>
          <w:color w:val="1f386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Bdr>
          <w:bottom w:color="1f3864" w:space="2" w:sz="6" w:val="single"/>
        </w:pBdr>
        <w:spacing w:after="6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3. Relevance of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18"/>
          <w:szCs w:val="18"/>
          <w:u w:val="none"/>
          <w:shd w:fill="auto" w:val="clear"/>
          <w:vertAlign w:val="baseline"/>
          <w:rtl w:val="0"/>
        </w:rPr>
        <w:t xml:space="preserve">XGBoost (demand):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Gradient-boosted trees outperform deep nets on structured tabular data; tree splits capture conditional logic (e.g., day + facility type + lag → demand); regularization prevents overfitting on sparse series.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18"/>
          <w:szCs w:val="18"/>
          <w:u w:val="none"/>
          <w:shd w:fill="auto" w:val="clear"/>
          <w:vertAlign w:val="baseline"/>
          <w:rtl w:val="0"/>
        </w:rPr>
        <w:t xml:space="preserve">Calibrated classification (shortage): </w:t>
      </w: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Models the stock→deficit phase boundary directly; scale-pos-weight handles severe class imbalance (stockouts &lt;5% of records); isotonic calibration yields reliable probabilities for downstream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18"/>
          <w:szCs w:val="18"/>
          <w:u w:val="none"/>
          <w:shd w:fill="auto" w:val="clear"/>
          <w:vertAlign w:val="baseline"/>
          <w:rtl w:val="0"/>
        </w:rPr>
        <w:t xml:space="preserve">MCDA over supervised ML (donor ranking):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No real outreach-outcome labels exist, so training a model would require fabricated data; MCDA instead gives deterministic, auditable utility scores needed for clinical transparency.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3864"/>
          <w:sz w:val="18"/>
          <w:szCs w:val="18"/>
          <w:u w:val="none"/>
          <w:shd w:fill="auto" w:val="clear"/>
          <w:vertAlign w:val="baseline"/>
          <w:rtl w:val="0"/>
        </w:rPr>
        <w:t xml:space="preserve">MILP (transshipment):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ML models predict but can't enforce hard constraints (vehicle capacity, integer units, safety floors); branch-and-cut MILP guarantees a mathematically optimal plan across the full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pBdr>
          <w:bottom w:color="1f3864" w:space="2" w:sz="6" w:val="single"/>
        </w:pBdr>
        <w:spacing w:after="60" w:before="16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Verified Benchmarks</w:t>
      </w:r>
      <w:r w:rsidDel="00000000" w:rsidR="00000000" w:rsidRPr="00000000">
        <w:rPr>
          <w:rtl w:val="0"/>
        </w:rPr>
      </w:r>
    </w:p>
    <w:tbl>
      <w:tblPr>
        <w:tblStyle w:val="Table3"/>
        <w:tblW w:w="8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60"/>
        <w:gridCol w:w="2200"/>
        <w:gridCol w:w="2700"/>
        <w:tblGridChange w:id="0">
          <w:tblGrid>
            <w:gridCol w:w="3560"/>
            <w:gridCol w:w="220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Achieved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Demand Forecast R² (72h)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&gt; 0.40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0.464 %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Shortage Warning ROC-AUC (72h)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&gt; 0.80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0.862 %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MILP Solver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&lt; 5.0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2.18 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API Endpoints Passing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12 /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Frontend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color w:val="222222"/>
                <w:sz w:val="16"/>
                <w:szCs w:val="16"/>
                <w:rtl w:val="0"/>
              </w:rPr>
              <w:t xml:space="preserve">Production not yet compiled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before="120" w:lineRule="auto"/>
        <w:rPr/>
      </w:pPr>
      <w:r w:rsidDel="00000000" w:rsidR="00000000" w:rsidRPr="00000000">
        <w:rPr>
          <w:b w:val="1"/>
          <w:bCs w:val="1"/>
          <w:color w:val="1f3864"/>
          <w:sz w:val="18"/>
          <w:szCs w:val="18"/>
          <w:rtl w:val="0"/>
        </w:rPr>
        <w:t xml:space="preserve">Stack: </w:t>
      </w:r>
      <w:r w:rsidDel="00000000" w:rsidR="00000000" w:rsidRPr="00000000">
        <w:rPr>
          <w:color w:val="222222"/>
          <w:sz w:val="18"/>
          <w:szCs w:val="18"/>
          <w:rtl w:val="0"/>
        </w:rPr>
        <w:t xml:space="preserve">Python 3.12, FastAPI, XGBoost, Scikit-learn, OR-Tools, Next.js 14, React 18, TypeScript, Tailwind CSS, Pytest.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