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color w:val="1F3864"/>
          <w:sz w:val="32"/>
          <w:szCs w:val="32"/>
        </w:rPr>
        <w:t xml:space="preserve">COMPARATIVE ANALYSIS</w:t>
      </w:r>
    </w:p>
    <w:p>
      <w:pPr>
        <w:spacing w:after="40"/>
        <w:jc w:val="center"/>
      </w:pPr>
      <w:r>
        <w:rPr>
          <w:b/>
          <w:bCs/>
          <w:sz w:val="24"/>
          <w:szCs w:val="24"/>
        </w:rPr>
        <w:t xml:space="preserve">Two Draft Replies to SCN F.No. GEXCOM/AE/INV/GST/1886/2026 — M/s H R Steel</w:t>
      </w:r>
    </w:p>
    <w:p>
      <w:pPr>
        <w:spacing w:after="240"/>
        <w:jc w:val="center"/>
      </w:pPr>
      <w:r>
        <w:rPr>
          <w:i/>
          <w:iCs/>
          <w:color w:val="595959"/>
          <w:sz w:val="20"/>
          <w:szCs w:val="20"/>
        </w:rPr>
        <w:t xml:space="preserve">Cross-checked against the original Show Cause cum Demand Notice (HR_Steel_SCN.pdf)</w:t>
      </w:r>
    </w:p>
    <w:p>
      <w:pPr>
        <w:pStyle w:val="Heading1"/>
        <w:spacing w:after="120" w:before="260"/>
      </w:pPr>
      <w:r>
        <w:rPr>
          <w:b/>
          <w:bCs/>
          <w:color w:val="1F3864"/>
        </w:rPr>
        <w:t xml:space="preserve">1. Purpose and method</w:t>
      </w:r>
    </w:p>
    <w:p>
      <w:pPr>
        <w:spacing w:after="80"/>
      </w:pPr>
      <w:r>
        <w:t xml:space="preserve">This note compares the two draft replies — “HR_Steel_Reply_to_SCN_Sec74.docx” (Doc 1) and “Reply_HR_Steel_SCN.docx” (Doc 2) — against each other and, in this version, against the actual Show Cause cum Demand Notice (“the SCN”). Every factual claim below (dates, figures, paragraph references) is checked against the SCN text; where a draft's claim could not be verified against it, that is noted rather than assumed correct.</w:t>
      </w:r>
    </w:p>
    <w:p>
      <w:pPr>
        <w:pStyle w:val="Heading1"/>
        <w:spacing w:after="120" w:before="260"/>
      </w:pPr>
      <w:r>
        <w:rPr>
          <w:b/>
          <w:bCs/>
          <w:color w:val="1F3864"/>
        </w:rPr>
        <w:t xml:space="preserve">2. SCN snapshot</w:t>
      </w:r>
    </w:p>
    <w:tbl>
      <w:tblPr>
        <w:tblW w:type="dxa" w:w="13600"/>
        <w:tblBorders>
          <w:top w:val="single" w:color="auto" w:sz="4"/>
          <w:left w:val="single" w:color="auto" w:sz="4"/>
          <w:bottom w:val="single" w:color="auto" w:sz="4"/>
          <w:right w:val="single" w:color="auto" w:sz="4"/>
          <w:insideH w:val="single" w:color="auto" w:sz="4"/>
          <w:insideV w:val="single" w:color="auto" w:sz="4"/>
        </w:tblBorders>
      </w:tblPr>
      <w:tblGrid>
        <w:gridCol w:w="3200"/>
        <w:gridCol w:w="10400"/>
      </w:tblGrid>
      <w:tr>
        <w:tc>
          <w:tcPr>
            <w:tcW w:type="dxa" w:w="3200"/>
            <w:shd w:fill="1F3864" w:val="clear"/>
            <w:tcMar>
              <w:top w:type="dxa" w:w="80"/>
              <w:left w:type="dxa" w:w="100"/>
              <w:bottom w:type="dxa" w:w="80"/>
              <w:right w:type="dxa" w:w="100"/>
            </w:tcMar>
            <w:vAlign w:val="center"/>
          </w:tcPr>
          <w:p>
            <w:r>
              <w:rPr>
                <w:b/>
                <w:bCs/>
                <w:color w:val="FFFFFF"/>
                <w:sz w:val="19"/>
                <w:szCs w:val="19"/>
              </w:rPr>
              <w:t xml:space="preserve">Parameter</w:t>
            </w:r>
          </w:p>
        </w:tc>
        <w:tc>
          <w:tcPr>
            <w:tcW w:type="dxa" w:w="10400"/>
            <w:shd w:fill="1F3864" w:val="clear"/>
            <w:tcMar>
              <w:top w:type="dxa" w:w="80"/>
              <w:left w:type="dxa" w:w="100"/>
              <w:bottom w:type="dxa" w:w="80"/>
              <w:right w:type="dxa" w:w="100"/>
            </w:tcMar>
            <w:vAlign w:val="center"/>
          </w:tcPr>
          <w:p>
            <w:r>
              <w:rPr>
                <w:b/>
                <w:bCs/>
                <w:color w:val="FFFFFF"/>
                <w:sz w:val="19"/>
                <w:szCs w:val="19"/>
              </w:rPr>
              <w:t xml:space="preserve">Position per the SCN</w:t>
            </w:r>
          </w:p>
        </w:tc>
      </w:tr>
      <w:tr>
        <w:tc>
          <w:tcPr>
            <w:tcW w:type="dxa" w:w="3200"/>
            <w:shd w:fill="F2F2F2" w:val="clear"/>
            <w:tcMar>
              <w:top w:type="dxa" w:w="80"/>
              <w:left w:type="dxa" w:w="100"/>
              <w:bottom w:type="dxa" w:w="80"/>
              <w:right w:type="dxa" w:w="100"/>
            </w:tcMar>
            <w:vAlign w:val="top"/>
          </w:tcPr>
          <w:p>
            <w:pPr>
              <w:spacing w:after="40"/>
            </w:pPr>
            <w:r>
              <w:rPr>
                <w:sz w:val="18"/>
                <w:szCs w:val="18"/>
              </w:rPr>
              <w:t xml:space="preserve">SCN reference</w:t>
            </w:r>
          </w:p>
        </w:tc>
        <w:tc>
          <w:tcPr>
            <w:tcW w:type="dxa" w:w="10400"/>
            <w:tcMar>
              <w:top w:type="dxa" w:w="80"/>
              <w:left w:type="dxa" w:w="100"/>
              <w:bottom w:type="dxa" w:w="80"/>
              <w:right w:type="dxa" w:w="100"/>
            </w:tcMar>
            <w:vAlign w:val="top"/>
          </w:tcPr>
          <w:p>
            <w:pPr>
              <w:spacing w:after="40"/>
            </w:pPr>
            <w:r>
              <w:rPr>
                <w:sz w:val="18"/>
                <w:szCs w:val="18"/>
              </w:rPr>
              <w:t xml:space="preserve">F.No. GEXCOM/AE/INV/GST/1886/2026; Centralized SCN Sr. No. 07/26-27; DIN GEXCOM/AE/INV/GST/1886/2026-AE-O/o COMMR-CGST-NASHIK</w:t>
            </w:r>
          </w:p>
        </w:tc>
      </w:tr>
      <w:tr>
        <w:tc>
          <w:tcPr>
            <w:tcW w:type="dxa" w:w="3200"/>
            <w:shd w:fill="F2F2F2" w:val="clear"/>
            <w:tcMar>
              <w:top w:type="dxa" w:w="80"/>
              <w:left w:type="dxa" w:w="100"/>
              <w:bottom w:type="dxa" w:w="80"/>
              <w:right w:type="dxa" w:w="100"/>
            </w:tcMar>
            <w:vAlign w:val="top"/>
          </w:tcPr>
          <w:p>
            <w:pPr>
              <w:spacing w:after="40"/>
            </w:pPr>
            <w:r>
              <w:rPr>
                <w:sz w:val="18"/>
                <w:szCs w:val="18"/>
              </w:rPr>
              <w:t xml:space="preserve">Issuing / signing authority</w:t>
            </w:r>
          </w:p>
        </w:tc>
        <w:tc>
          <w:tcPr>
            <w:tcW w:type="dxa" w:w="10400"/>
            <w:tcMar>
              <w:top w:type="dxa" w:w="80"/>
              <w:left w:type="dxa" w:w="100"/>
              <w:bottom w:type="dxa" w:w="80"/>
              <w:right w:type="dxa" w:w="100"/>
            </w:tcMar>
            <w:vAlign w:val="top"/>
          </w:tcPr>
          <w:p>
            <w:pPr>
              <w:spacing w:after="40"/>
            </w:pPr>
            <w:r>
              <w:rPr>
                <w:sz w:val="18"/>
                <w:szCs w:val="18"/>
              </w:rPr>
              <w:t xml:space="preserve">Ajit Dan, Additional Commissioner (Prev.), CGST &amp; CX, Nashik Commissionerate</w:t>
            </w:r>
          </w:p>
        </w:tc>
      </w:tr>
      <w:tr>
        <w:tc>
          <w:tcPr>
            <w:tcW w:type="dxa" w:w="3200"/>
            <w:shd w:fill="F2F2F2" w:val="clear"/>
            <w:tcMar>
              <w:top w:type="dxa" w:w="80"/>
              <w:left w:type="dxa" w:w="100"/>
              <w:bottom w:type="dxa" w:w="80"/>
              <w:right w:type="dxa" w:w="100"/>
            </w:tcMar>
            <w:vAlign w:val="top"/>
          </w:tcPr>
          <w:p>
            <w:pPr>
              <w:spacing w:after="40"/>
            </w:pPr>
            <w:r>
              <w:rPr>
                <w:sz w:val="18"/>
                <w:szCs w:val="18"/>
              </w:rPr>
              <w:t xml:space="preserve">Noticee</w:t>
            </w:r>
          </w:p>
        </w:tc>
        <w:tc>
          <w:tcPr>
            <w:tcW w:type="dxa" w:w="10400"/>
            <w:tcMar>
              <w:top w:type="dxa" w:w="80"/>
              <w:left w:type="dxa" w:w="100"/>
              <w:bottom w:type="dxa" w:w="80"/>
              <w:right w:type="dxa" w:w="100"/>
            </w:tcMar>
            <w:vAlign w:val="top"/>
          </w:tcPr>
          <w:p>
            <w:pPr>
              <w:spacing w:after="40"/>
            </w:pPr>
            <w:r>
              <w:rPr>
                <w:sz w:val="18"/>
                <w:szCs w:val="18"/>
              </w:rPr>
              <w:t xml:space="preserve">M/s H R Steel, Prop. Juned Aliahmed Chaudhari, GSTIN 27AGZPC3957D1Z2, Chinchole, Ambad, Nashik</w:t>
            </w:r>
          </w:p>
        </w:tc>
      </w:tr>
      <w:tr>
        <w:tc>
          <w:tcPr>
            <w:tcW w:type="dxa" w:w="3200"/>
            <w:shd w:fill="F2F2F2" w:val="clear"/>
            <w:tcMar>
              <w:top w:type="dxa" w:w="80"/>
              <w:left w:type="dxa" w:w="100"/>
              <w:bottom w:type="dxa" w:w="80"/>
              <w:right w:type="dxa" w:w="100"/>
            </w:tcMar>
            <w:vAlign w:val="top"/>
          </w:tcPr>
          <w:p>
            <w:pPr>
              <w:spacing w:after="40"/>
            </w:pPr>
            <w:r>
              <w:rPr>
                <w:sz w:val="18"/>
                <w:szCs w:val="18"/>
              </w:rPr>
              <w:t xml:space="preserve">Period</w:t>
            </w:r>
          </w:p>
        </w:tc>
        <w:tc>
          <w:tcPr>
            <w:tcW w:type="dxa" w:w="10400"/>
            <w:tcMar>
              <w:top w:type="dxa" w:w="80"/>
              <w:left w:type="dxa" w:w="100"/>
              <w:bottom w:type="dxa" w:w="80"/>
              <w:right w:type="dxa" w:w="100"/>
            </w:tcMar>
            <w:vAlign w:val="top"/>
          </w:tcPr>
          <w:p>
            <w:pPr>
              <w:spacing w:after="40"/>
            </w:pPr>
            <w:r>
              <w:rPr>
                <w:sz w:val="18"/>
                <w:szCs w:val="18"/>
              </w:rPr>
              <w:t xml:space="preserve">January 2021 to March 2022 (FY 2020-21 and FY 2021-22)</w:t>
            </w:r>
          </w:p>
        </w:tc>
      </w:tr>
      <w:tr>
        <w:tc>
          <w:tcPr>
            <w:tcW w:type="dxa" w:w="3200"/>
            <w:shd w:fill="F2F2F2" w:val="clear"/>
            <w:tcMar>
              <w:top w:type="dxa" w:w="80"/>
              <w:left w:type="dxa" w:w="100"/>
              <w:bottom w:type="dxa" w:w="80"/>
              <w:right w:type="dxa" w:w="100"/>
            </w:tcMar>
            <w:vAlign w:val="top"/>
          </w:tcPr>
          <w:p>
            <w:pPr>
              <w:spacing w:after="40"/>
            </w:pPr>
            <w:r>
              <w:rPr>
                <w:sz w:val="18"/>
                <w:szCs w:val="18"/>
              </w:rPr>
              <w:t xml:space="preserve">Amount proposed</w:t>
            </w:r>
          </w:p>
        </w:tc>
        <w:tc>
          <w:tcPr>
            <w:tcW w:type="dxa" w:w="10400"/>
            <w:tcMar>
              <w:top w:type="dxa" w:w="80"/>
              <w:left w:type="dxa" w:w="100"/>
              <w:bottom w:type="dxa" w:w="80"/>
              <w:right w:type="dxa" w:w="100"/>
            </w:tcMar>
            <w:vAlign w:val="top"/>
          </w:tcPr>
          <w:p>
            <w:pPr>
              <w:spacing w:after="40"/>
            </w:pPr>
            <w:r>
              <w:rPr>
                <w:sz w:val="18"/>
                <w:szCs w:val="18"/>
              </w:rPr>
              <w:t xml:space="preserve">Rs. 11,36,93,005 (CGST Rs. 5,68,46,502.50 + SGST Rs. 5,68,46,502.50), interest under S.50(3), penalty equal to tax under S.74(1)</w:t>
            </w:r>
          </w:p>
        </w:tc>
      </w:tr>
      <w:tr>
        <w:tc>
          <w:tcPr>
            <w:tcW w:type="dxa" w:w="3200"/>
            <w:shd w:fill="F2F2F2" w:val="clear"/>
            <w:tcMar>
              <w:top w:type="dxa" w:w="80"/>
              <w:left w:type="dxa" w:w="100"/>
              <w:bottom w:type="dxa" w:w="80"/>
              <w:right w:type="dxa" w:w="100"/>
            </w:tcMar>
            <w:vAlign w:val="top"/>
          </w:tcPr>
          <w:p>
            <w:pPr>
              <w:spacing w:after="40"/>
            </w:pPr>
            <w:r>
              <w:rPr>
                <w:sz w:val="18"/>
                <w:szCs w:val="18"/>
              </w:rPr>
              <w:t xml:space="preserve">Suppliers in question</w:t>
            </w:r>
          </w:p>
        </w:tc>
        <w:tc>
          <w:tcPr>
            <w:tcW w:type="dxa" w:w="10400"/>
            <w:tcMar>
              <w:top w:type="dxa" w:w="80"/>
              <w:left w:type="dxa" w:w="100"/>
              <w:bottom w:type="dxa" w:w="80"/>
              <w:right w:type="dxa" w:w="100"/>
            </w:tcMar>
            <w:vAlign w:val="top"/>
          </w:tcPr>
          <w:p>
            <w:pPr>
              <w:spacing w:after="40"/>
            </w:pPr>
            <w:r>
              <w:rPr>
                <w:sz w:val="18"/>
                <w:szCs w:val="18"/>
              </w:rPr>
              <w:t xml:space="preserve">M/s Hira Steel (27BLBPC3510J1ZK) — proprietor arrested 04.05.2022; M/s Maharashtra Steel Traders (27AFRPC5362D1ZH) — proprietor arrested 08.06.2022</w:t>
            </w:r>
          </w:p>
        </w:tc>
      </w:tr>
      <w:tr>
        <w:tc>
          <w:tcPr>
            <w:tcW w:type="dxa" w:w="3200"/>
            <w:shd w:fill="F2F2F2" w:val="clear"/>
            <w:tcMar>
              <w:top w:type="dxa" w:w="80"/>
              <w:left w:type="dxa" w:w="100"/>
              <w:bottom w:type="dxa" w:w="80"/>
              <w:right w:type="dxa" w:w="100"/>
            </w:tcMar>
            <w:vAlign w:val="top"/>
          </w:tcPr>
          <w:p>
            <w:pPr>
              <w:spacing w:after="40"/>
            </w:pPr>
            <w:r>
              <w:rPr>
                <w:sz w:val="18"/>
                <w:szCs w:val="18"/>
              </w:rPr>
              <w:t xml:space="preserve">Core allegation</w:t>
            </w:r>
          </w:p>
        </w:tc>
        <w:tc>
          <w:tcPr>
            <w:tcW w:type="dxa" w:w="10400"/>
            <w:tcMar>
              <w:top w:type="dxa" w:w="80"/>
              <w:left w:type="dxa" w:w="100"/>
              <w:bottom w:type="dxa" w:w="80"/>
              <w:right w:type="dxa" w:w="100"/>
            </w:tcMar>
            <w:vAlign w:val="top"/>
          </w:tcPr>
          <w:p>
            <w:pPr>
              <w:spacing w:after="40"/>
            </w:pPr>
            <w:r>
              <w:rPr>
                <w:sz w:val="18"/>
                <w:szCs w:val="18"/>
              </w:rPr>
              <w:t xml:space="preserve">No actual movement of goods; ITC availed on 'paper entries' based on (i) supplier-proprietors' arrest statements, (ii) 23 sample transporter statements denying transport, (iii) E-Vahan/e-way-bill vehicle-type mismatches (Table A, Rs. 45,94,791) and triangulated routing via non-existent entities Gajanan/Gauri/Tej (Table B, Rs. 1,96,24,576)</w:t>
            </w:r>
          </w:p>
        </w:tc>
      </w:tr>
      <w:tr>
        <w:tc>
          <w:tcPr>
            <w:tcW w:type="dxa" w:w="3200"/>
            <w:shd w:fill="F2F2F2" w:val="clear"/>
            <w:tcMar>
              <w:top w:type="dxa" w:w="80"/>
              <w:left w:type="dxa" w:w="100"/>
              <w:bottom w:type="dxa" w:w="80"/>
              <w:right w:type="dxa" w:w="100"/>
            </w:tcMar>
            <w:vAlign w:val="top"/>
          </w:tcPr>
          <w:p>
            <w:pPr>
              <w:spacing w:after="40"/>
            </w:pPr>
            <w:r>
              <w:rPr>
                <w:sz w:val="18"/>
                <w:szCs w:val="18"/>
              </w:rPr>
              <w:t xml:space="preserve">Pre-SCN intimation</w:t>
            </w:r>
          </w:p>
        </w:tc>
        <w:tc>
          <w:tcPr>
            <w:tcW w:type="dxa" w:w="10400"/>
            <w:tcMar>
              <w:top w:type="dxa" w:w="80"/>
              <w:left w:type="dxa" w:w="100"/>
              <w:bottom w:type="dxa" w:w="80"/>
              <w:right w:type="dxa" w:w="100"/>
            </w:tcMar>
            <w:vAlign w:val="top"/>
          </w:tcPr>
          <w:p>
            <w:pPr>
              <w:spacing w:after="40"/>
            </w:pPr>
            <w:r>
              <w:rPr>
                <w:sz w:val="18"/>
                <w:szCs w:val="18"/>
              </w:rPr>
              <w:t xml:space="preserve">Form GST DRC-01A dated 26.05.2026 (Ref. ZD270526099085Y) issued; noticee replied 01.06.2026; Department rejected the reply as not tenable (para 10)</w:t>
            </w:r>
          </w:p>
        </w:tc>
      </w:tr>
      <w:tr>
        <w:tc>
          <w:tcPr>
            <w:tcW w:type="dxa" w:w="3200"/>
            <w:shd w:fill="F2F2F2" w:val="clear"/>
            <w:tcMar>
              <w:top w:type="dxa" w:w="80"/>
              <w:left w:type="dxa" w:w="100"/>
              <w:bottom w:type="dxa" w:w="80"/>
              <w:right w:type="dxa" w:w="100"/>
            </w:tcMar>
            <w:vAlign w:val="top"/>
          </w:tcPr>
          <w:p>
            <w:pPr>
              <w:spacing w:after="40"/>
            </w:pPr>
            <w:r>
              <w:rPr>
                <w:sz w:val="18"/>
                <w:szCs w:val="18"/>
              </w:rPr>
              <w:t xml:space="preserve">Statutory basis invoked</w:t>
            </w:r>
          </w:p>
        </w:tc>
        <w:tc>
          <w:tcPr>
            <w:tcW w:type="dxa" w:w="10400"/>
            <w:tcMar>
              <w:top w:type="dxa" w:w="80"/>
              <w:left w:type="dxa" w:w="100"/>
              <w:bottom w:type="dxa" w:w="80"/>
              <w:right w:type="dxa" w:w="100"/>
            </w:tcMar>
            <w:vAlign w:val="top"/>
          </w:tcPr>
          <w:p>
            <w:pPr>
              <w:spacing w:after="40"/>
            </w:pPr>
            <w:r>
              <w:rPr>
                <w:sz w:val="18"/>
                <w:szCs w:val="18"/>
              </w:rPr>
              <w:t xml:space="preserve">Sections 16(1), 16(2)(a), 16(2)(b), 41 and 74(1) of the CGST Act, 2017; Section 155 (burden of proof)</w:t>
            </w:r>
          </w:p>
        </w:tc>
      </w:tr>
    </w:tbl>
    <w:p>
      <w:pPr>
        <w:spacing w:after="160"/>
      </w:pPr>
    </w:p>
    <w:p>
      <w:pPr>
        <w:pStyle w:val="Heading1"/>
        <w:spacing w:after="120" w:before="260"/>
      </w:pPr>
      <w:r>
        <w:rPr>
          <w:b/>
          <w:bCs/>
          <w:color w:val="1F3864"/>
        </w:rPr>
        <w:t xml:space="preserve">3. Side-by-side comparison against the SCN</w:t>
      </w:r>
    </w:p>
    <w:tbl>
      <w:tblPr>
        <w:tblW w:type="dxa" w:w="13600"/>
        <w:tblBorders>
          <w:top w:val="single" w:color="auto" w:sz="4"/>
          <w:left w:val="single" w:color="auto" w:sz="4"/>
          <w:bottom w:val="single" w:color="auto" w:sz="4"/>
          <w:right w:val="single" w:color="auto" w:sz="4"/>
          <w:insideH w:val="single" w:color="auto" w:sz="4"/>
          <w:insideV w:val="single" w:color="auto" w:sz="4"/>
        </w:tblBorders>
      </w:tblPr>
      <w:tblGrid>
        <w:gridCol w:w="2600"/>
        <w:gridCol w:w="3900"/>
        <w:gridCol w:w="3550"/>
        <w:gridCol w:w="3550"/>
      </w:tblGrid>
      <w:tr>
        <w:tc>
          <w:tcPr>
            <w:tcW w:type="dxa" w:w="2600"/>
            <w:shd w:fill="1F3864" w:val="clear"/>
            <w:tcMar>
              <w:top w:type="dxa" w:w="80"/>
              <w:left w:type="dxa" w:w="100"/>
              <w:bottom w:type="dxa" w:w="80"/>
              <w:right w:type="dxa" w:w="100"/>
            </w:tcMar>
            <w:vAlign w:val="center"/>
          </w:tcPr>
          <w:p>
            <w:r>
              <w:rPr>
                <w:b/>
                <w:bCs/>
                <w:color w:val="FFFFFF"/>
                <w:sz w:val="19"/>
                <w:szCs w:val="19"/>
              </w:rPr>
              <w:t xml:space="preserve">Parameter</w:t>
            </w:r>
          </w:p>
        </w:tc>
        <w:tc>
          <w:tcPr>
            <w:tcW w:type="dxa" w:w="3900"/>
            <w:shd w:fill="1F3864" w:val="clear"/>
            <w:tcMar>
              <w:top w:type="dxa" w:w="80"/>
              <w:left w:type="dxa" w:w="100"/>
              <w:bottom w:type="dxa" w:w="80"/>
              <w:right w:type="dxa" w:w="100"/>
            </w:tcMar>
            <w:vAlign w:val="center"/>
          </w:tcPr>
          <w:p>
            <w:r>
              <w:rPr>
                <w:b/>
                <w:bCs/>
                <w:color w:val="FFFFFF"/>
                <w:sz w:val="19"/>
                <w:szCs w:val="19"/>
              </w:rPr>
              <w:t xml:space="preserve">Actual SCN</w:t>
            </w:r>
          </w:p>
        </w:tc>
        <w:tc>
          <w:tcPr>
            <w:tcW w:type="dxa" w:w="3550"/>
            <w:shd w:fill="1F3864" w:val="clear"/>
            <w:tcMar>
              <w:top w:type="dxa" w:w="80"/>
              <w:left w:type="dxa" w:w="100"/>
              <w:bottom w:type="dxa" w:w="80"/>
              <w:right w:type="dxa" w:w="100"/>
            </w:tcMar>
            <w:vAlign w:val="center"/>
          </w:tcPr>
          <w:p>
            <w:r>
              <w:rPr>
                <w:b/>
                <w:bCs/>
                <w:color w:val="FFFFFF"/>
                <w:sz w:val="19"/>
                <w:szCs w:val="19"/>
              </w:rPr>
              <w:t xml:space="preserve">Doc 1 — HR_Steel_Reply_to_SCN_Sec74</w:t>
            </w:r>
          </w:p>
        </w:tc>
        <w:tc>
          <w:tcPr>
            <w:tcW w:type="dxa" w:w="3550"/>
            <w:shd w:fill="1F3864" w:val="clear"/>
            <w:tcMar>
              <w:top w:type="dxa" w:w="80"/>
              <w:left w:type="dxa" w:w="100"/>
              <w:bottom w:type="dxa" w:w="80"/>
              <w:right w:type="dxa" w:w="100"/>
            </w:tcMar>
            <w:vAlign w:val="center"/>
          </w:tcPr>
          <w:p>
            <w:r>
              <w:rPr>
                <w:b/>
                <w:bCs/>
                <w:color w:val="FFFFFF"/>
                <w:sz w:val="19"/>
                <w:szCs w:val="19"/>
              </w:rPr>
              <w:t xml:space="preserve">Doc 2 — Reply_HR_Steel_SCN</w:t>
            </w:r>
          </w:p>
        </w:tc>
      </w:tr>
      <w:tr>
        <w:tc>
          <w:tcPr>
            <w:tcW w:type="dxa" w:w="2600"/>
            <w:shd w:fill="F2F2F2" w:val="clear"/>
            <w:tcMar>
              <w:top w:type="dxa" w:w="80"/>
              <w:left w:type="dxa" w:w="100"/>
              <w:bottom w:type="dxa" w:w="80"/>
              <w:right w:type="dxa" w:w="100"/>
            </w:tcMar>
            <w:vAlign w:val="top"/>
          </w:tcPr>
          <w:p>
            <w:pPr>
              <w:spacing w:after="40"/>
            </w:pPr>
            <w:r>
              <w:rPr>
                <w:b/>
                <w:bCs/>
                <w:sz w:val="18"/>
                <w:szCs w:val="18"/>
              </w:rPr>
              <w:t xml:space="preserve">Forum / officer addressed</w:t>
            </w:r>
          </w:p>
        </w:tc>
        <w:tc>
          <w:tcPr>
            <w:tcW w:type="dxa" w:w="3900"/>
            <w:tcMar>
              <w:top w:type="dxa" w:w="80"/>
              <w:left w:type="dxa" w:w="100"/>
              <w:bottom w:type="dxa" w:w="80"/>
              <w:right w:type="dxa" w:w="100"/>
            </w:tcMar>
            <w:vAlign w:val="top"/>
          </w:tcPr>
          <w:p>
            <w:pPr>
              <w:spacing w:after="40"/>
            </w:pPr>
            <w:r>
              <w:rPr>
                <w:sz w:val="18"/>
                <w:szCs w:val="18"/>
              </w:rPr>
              <w:t xml:space="preserve">Signed by Ajit Dan, Additional Commissioner (Prev.), CGST &amp; CX, Nashik Commissionerate — a Centralized SCN.</w:t>
            </w:r>
          </w:p>
        </w:tc>
        <w:tc>
          <w:tcPr>
            <w:tcW w:type="dxa" w:w="3550"/>
            <w:tcMar>
              <w:top w:type="dxa" w:w="80"/>
              <w:left w:type="dxa" w:w="100"/>
              <w:bottom w:type="dxa" w:w="80"/>
              <w:right w:type="dxa" w:w="100"/>
            </w:tcMar>
            <w:vAlign w:val="top"/>
          </w:tcPr>
          <w:p>
            <w:pPr>
              <w:spacing w:after="40"/>
            </w:pPr>
            <w:r>
              <w:rPr>
                <w:color w:val="1E7B34"/>
                <w:sz w:val="18"/>
                <w:szCs w:val="18"/>
              </w:rPr>
              <w:t xml:space="preserve">Addressed to the Additional Commissioner, CGST &amp; CX, Nashik Commissionerate — matches the signatory.</w:t>
            </w:r>
          </w:p>
        </w:tc>
        <w:tc>
          <w:tcPr>
            <w:tcW w:type="dxa" w:w="3550"/>
            <w:tcMar>
              <w:top w:type="dxa" w:w="80"/>
              <w:left w:type="dxa" w:w="100"/>
              <w:bottom w:type="dxa" w:w="80"/>
              <w:right w:type="dxa" w:w="100"/>
            </w:tcMar>
            <w:vAlign w:val="top"/>
          </w:tcPr>
          <w:p>
            <w:pPr>
              <w:spacing w:after="40"/>
            </w:pPr>
            <w:r>
              <w:rPr>
                <w:color w:val="C00000"/>
                <w:sz w:val="18"/>
                <w:szCs w:val="18"/>
              </w:rPr>
              <w:t xml:space="preserve">Addressed to the 'Assistant Commissioner / Proper Officer... Division-Satpur, Nashik' — does not match the signing authority on the SCN.</w:t>
            </w:r>
          </w:p>
        </w:tc>
      </w:tr>
      <w:tr>
        <w:tc>
          <w:tcPr>
            <w:tcW w:type="dxa" w:w="2600"/>
            <w:shd w:fill="F2F2F2" w:val="clear"/>
            <w:tcMar>
              <w:top w:type="dxa" w:w="80"/>
              <w:left w:type="dxa" w:w="100"/>
              <w:bottom w:type="dxa" w:w="80"/>
              <w:right w:type="dxa" w:w="100"/>
            </w:tcMar>
            <w:vAlign w:val="top"/>
          </w:tcPr>
          <w:p>
            <w:pPr>
              <w:spacing w:after="40"/>
            </w:pPr>
            <w:r>
              <w:rPr>
                <w:b/>
                <w:bCs/>
                <w:sz w:val="18"/>
                <w:szCs w:val="18"/>
              </w:rPr>
              <w:t xml:space="preserve">Nature of business described</w:t>
            </w:r>
          </w:p>
        </w:tc>
        <w:tc>
          <w:tcPr>
            <w:tcW w:type="dxa" w:w="3900"/>
            <w:tcMar>
              <w:top w:type="dxa" w:w="80"/>
              <w:left w:type="dxa" w:w="100"/>
              <w:bottom w:type="dxa" w:w="80"/>
              <w:right w:type="dxa" w:w="100"/>
            </w:tcMar>
            <w:vAlign w:val="top"/>
          </w:tcPr>
          <w:p>
            <w:pPr>
              <w:spacing w:after="40"/>
            </w:pPr>
            <w:r>
              <w:rPr>
                <w:sz w:val="18"/>
                <w:szCs w:val="18"/>
              </w:rPr>
              <w:t xml:space="preserve">Para 1 describes the noticee as a retailer of 'wood sawn or chipped...' (HSN 44), yet para 3.5 (noticee's own statement) and para 8 (violations) refer only to steel items under HSN 72. The HSN 44 reference is unexplained elsewhere in the notice.</w:t>
            </w:r>
          </w:p>
        </w:tc>
        <w:tc>
          <w:tcPr>
            <w:tcW w:type="dxa" w:w="3550"/>
            <w:tcMar>
              <w:top w:type="dxa" w:w="80"/>
              <w:left w:type="dxa" w:w="100"/>
              <w:bottom w:type="dxa" w:w="80"/>
              <w:right w:type="dxa" w:w="100"/>
            </w:tcMar>
            <w:vAlign w:val="top"/>
          </w:tcPr>
          <w:p>
            <w:pPr>
              <w:spacing w:after="40"/>
            </w:pPr>
            <w:r>
              <w:rPr>
                <w:color w:val="1E7B34"/>
                <w:sz w:val="18"/>
                <w:szCs w:val="18"/>
              </w:rPr>
              <w:t xml:space="preserve">Describes the business only as steel/scrap trading (per the noticee's own recorded statement) and separately flags the SCN's wood/HSN 44 reference as an internal inconsistency at para 4.13(vi), used as a drafting-defect ground.</w:t>
            </w:r>
          </w:p>
        </w:tc>
        <w:tc>
          <w:tcPr>
            <w:tcW w:type="dxa" w:w="3550"/>
            <w:tcMar>
              <w:top w:type="dxa" w:w="80"/>
              <w:left w:type="dxa" w:w="100"/>
              <w:bottom w:type="dxa" w:w="80"/>
              <w:right w:type="dxa" w:w="100"/>
            </w:tcMar>
            <w:vAlign w:val="top"/>
          </w:tcPr>
          <w:p>
            <w:pPr>
              <w:spacing w:after="40"/>
            </w:pPr>
            <w:r>
              <w:rPr>
                <w:color w:val="C00000"/>
                <w:sz w:val="18"/>
                <w:szCs w:val="18"/>
              </w:rPr>
              <w:t xml:space="preserve">Adopts the SCN's wood/timber wording as the noticee's own business ('timber products, sawn wood... HSN 44 and 72') — not supported by the noticee's own statements on record.</w:t>
            </w:r>
          </w:p>
        </w:tc>
      </w:tr>
      <w:tr>
        <w:tc>
          <w:tcPr>
            <w:tcW w:type="dxa" w:w="2600"/>
            <w:shd w:fill="F2F2F2" w:val="clear"/>
            <w:tcMar>
              <w:top w:type="dxa" w:w="80"/>
              <w:left w:type="dxa" w:w="100"/>
              <w:bottom w:type="dxa" w:w="80"/>
              <w:right w:type="dxa" w:w="100"/>
            </w:tcMar>
            <w:vAlign w:val="top"/>
          </w:tcPr>
          <w:p>
            <w:pPr>
              <w:spacing w:after="40"/>
            </w:pPr>
            <w:r>
              <w:rPr>
                <w:b/>
                <w:bCs/>
                <w:sz w:val="18"/>
                <w:szCs w:val="18"/>
              </w:rPr>
              <w:t xml:space="preserve">Form GST DRC-01A</w:t>
            </w:r>
          </w:p>
        </w:tc>
        <w:tc>
          <w:tcPr>
            <w:tcW w:type="dxa" w:w="3900"/>
            <w:tcMar>
              <w:top w:type="dxa" w:w="80"/>
              <w:left w:type="dxa" w:w="100"/>
              <w:bottom w:type="dxa" w:w="80"/>
              <w:right w:type="dxa" w:w="100"/>
            </w:tcMar>
            <w:vAlign w:val="top"/>
          </w:tcPr>
          <w:p>
            <w:pPr>
              <w:spacing w:after="40"/>
            </w:pPr>
            <w:r>
              <w:rPr>
                <w:sz w:val="18"/>
                <w:szCs w:val="18"/>
              </w:rPr>
              <w:t xml:space="preserve">Para 10: DRC-01A dated 26.05.2026 (Ref. ZD270526099085Y) issued; noticee replied 01.06.2026; reply rejected as untenable.</w:t>
            </w:r>
          </w:p>
        </w:tc>
        <w:tc>
          <w:tcPr>
            <w:tcW w:type="dxa" w:w="3550"/>
            <w:tcMar>
              <w:top w:type="dxa" w:w="80"/>
              <w:left w:type="dxa" w:w="100"/>
              <w:bottom w:type="dxa" w:w="80"/>
              <w:right w:type="dxa" w:w="100"/>
            </w:tcMar>
            <w:vAlign w:val="top"/>
          </w:tcPr>
          <w:p>
            <w:pPr>
              <w:spacing w:after="40"/>
            </w:pPr>
            <w:r>
              <w:rPr>
                <w:color w:val="1E7B34"/>
                <w:sz w:val="18"/>
                <w:szCs w:val="18"/>
              </w:rPr>
              <w:t xml:space="preserve">Chronology at para 2.5(f) records DRC-01A as issued and replied to — consistent with the SCN.</w:t>
            </w:r>
          </w:p>
        </w:tc>
        <w:tc>
          <w:tcPr>
            <w:tcW w:type="dxa" w:w="3550"/>
            <w:tcMar>
              <w:top w:type="dxa" w:w="80"/>
              <w:left w:type="dxa" w:w="100"/>
              <w:bottom w:type="dxa" w:w="80"/>
              <w:right w:type="dxa" w:w="100"/>
            </w:tcMar>
            <w:vAlign w:val="top"/>
          </w:tcPr>
          <w:p>
            <w:pPr>
              <w:spacing w:after="40"/>
            </w:pPr>
            <w:r>
              <w:rPr>
                <w:color w:val="C00000"/>
                <w:sz w:val="18"/>
                <w:szCs w:val="18"/>
              </w:rPr>
              <w:t xml:space="preserve">Section III, para 6 raises 'Failure to issue Form GST DRC-01A' as a preliminary objection — contradicted by the SCN's own record.</w:t>
            </w:r>
          </w:p>
        </w:tc>
      </w:tr>
      <w:tr>
        <w:tc>
          <w:tcPr>
            <w:tcW w:type="dxa" w:w="2600"/>
            <w:shd w:fill="F2F2F2" w:val="clear"/>
            <w:tcMar>
              <w:top w:type="dxa" w:w="80"/>
              <w:left w:type="dxa" w:w="100"/>
              <w:bottom w:type="dxa" w:w="80"/>
              <w:right w:type="dxa" w:w="100"/>
            </w:tcMar>
            <w:vAlign w:val="top"/>
          </w:tcPr>
          <w:p>
            <w:pPr>
              <w:spacing w:after="40"/>
            </w:pPr>
            <w:r>
              <w:rPr>
                <w:b/>
                <w:bCs/>
                <w:sz w:val="18"/>
                <w:szCs w:val="18"/>
              </w:rPr>
              <w:t xml:space="preserve">Table (A) quantification (vehicle-type mismatches)</w:t>
            </w:r>
          </w:p>
        </w:tc>
        <w:tc>
          <w:tcPr>
            <w:tcW w:type="dxa" w:w="3900"/>
            <w:tcMar>
              <w:top w:type="dxa" w:w="80"/>
              <w:left w:type="dxa" w:w="100"/>
              <w:bottom w:type="dxa" w:w="80"/>
              <w:right w:type="dxa" w:w="100"/>
            </w:tcMar>
            <w:vAlign w:val="top"/>
          </w:tcPr>
          <w:p>
            <w:pPr>
              <w:spacing w:after="40"/>
            </w:pPr>
            <w:r>
              <w:rPr>
                <w:sz w:val="18"/>
                <w:szCs w:val="18"/>
              </w:rPr>
              <w:t xml:space="preserve">33 e-way bills; tax value totals Rs. 45,94,791 across 'detail not found', two/three-wheeler, car, bus and goods-carrier categories.</w:t>
            </w:r>
          </w:p>
        </w:tc>
        <w:tc>
          <w:tcPr>
            <w:tcW w:type="dxa" w:w="3550"/>
            <w:tcMar>
              <w:top w:type="dxa" w:w="80"/>
              <w:left w:type="dxa" w:w="100"/>
              <w:bottom w:type="dxa" w:w="80"/>
              <w:right w:type="dxa" w:w="100"/>
            </w:tcMar>
            <w:vAlign w:val="top"/>
          </w:tcPr>
          <w:p>
            <w:pPr>
              <w:spacing w:after="40"/>
            </w:pPr>
            <w:r>
              <w:rPr>
                <w:color w:val="1E7B34"/>
                <w:sz w:val="18"/>
                <w:szCs w:val="18"/>
              </w:rPr>
              <w:t xml:space="preserve">Independently recomputed by category in the counsel notes; figure of Rs. 45,94,791 matches the SCN exactly.</w:t>
            </w:r>
          </w:p>
        </w:tc>
        <w:tc>
          <w:tcPr>
            <w:tcW w:type="dxa" w:w="3550"/>
            <w:tcMar>
              <w:top w:type="dxa" w:w="80"/>
              <w:left w:type="dxa" w:w="100"/>
              <w:bottom w:type="dxa" w:w="80"/>
              <w:right w:type="dxa" w:w="100"/>
            </w:tcMar>
            <w:vAlign w:val="top"/>
          </w:tcPr>
          <w:p>
            <w:pPr>
              <w:spacing w:after="40"/>
            </w:pPr>
            <w:r>
              <w:rPr>
                <w:sz w:val="18"/>
                <w:szCs w:val="18"/>
              </w:rPr>
              <w:t xml:space="preserve">Not engaged with — the recap table simply states 'As per SCN Annexure' without figures.</w:t>
            </w:r>
          </w:p>
        </w:tc>
      </w:tr>
      <w:tr>
        <w:tc>
          <w:tcPr>
            <w:tcW w:type="dxa" w:w="2600"/>
            <w:shd w:fill="F2F2F2" w:val="clear"/>
            <w:tcMar>
              <w:top w:type="dxa" w:w="80"/>
              <w:left w:type="dxa" w:w="100"/>
              <w:bottom w:type="dxa" w:w="80"/>
              <w:right w:type="dxa" w:w="100"/>
            </w:tcMar>
            <w:vAlign w:val="top"/>
          </w:tcPr>
          <w:p>
            <w:pPr>
              <w:spacing w:after="40"/>
            </w:pPr>
            <w:r>
              <w:rPr>
                <w:b/>
                <w:bCs/>
                <w:sz w:val="18"/>
                <w:szCs w:val="18"/>
              </w:rPr>
              <w:t xml:space="preserve">Table (B) quantification (triangulated routing)</w:t>
            </w:r>
          </w:p>
        </w:tc>
        <w:tc>
          <w:tcPr>
            <w:tcW w:type="dxa" w:w="3900"/>
            <w:tcMar>
              <w:top w:type="dxa" w:w="80"/>
              <w:left w:type="dxa" w:w="100"/>
              <w:bottom w:type="dxa" w:w="80"/>
              <w:right w:type="dxa" w:w="100"/>
            </w:tcMar>
            <w:vAlign w:val="top"/>
          </w:tcPr>
          <w:p>
            <w:pPr>
              <w:spacing w:after="40"/>
            </w:pPr>
            <w:r>
              <w:rPr>
                <w:sz w:val="18"/>
                <w:szCs w:val="18"/>
              </w:rPr>
              <w:t xml:space="preserve">Tax value totals Rs. 1,96,24,576 across e-way bills routed through Gajanan/Gauri/Tej before reaching the noticee.</w:t>
            </w:r>
          </w:p>
        </w:tc>
        <w:tc>
          <w:tcPr>
            <w:tcW w:type="dxa" w:w="3550"/>
            <w:tcMar>
              <w:top w:type="dxa" w:w="80"/>
              <w:left w:type="dxa" w:w="100"/>
              <w:bottom w:type="dxa" w:w="80"/>
              <w:right w:type="dxa" w:w="100"/>
            </w:tcMar>
            <w:vAlign w:val="top"/>
          </w:tcPr>
          <w:p>
            <w:pPr>
              <w:spacing w:after="40"/>
            </w:pPr>
            <w:r>
              <w:rPr>
                <w:color w:val="1E7B34"/>
                <w:sz w:val="18"/>
                <w:szCs w:val="18"/>
              </w:rPr>
              <w:t xml:space="preserve">Figure confirmed as matching the SCN; also identifies 3 e-way bills (~Rs. 5,28,656) double-counted across Tables (A) and (B).</w:t>
            </w:r>
          </w:p>
        </w:tc>
        <w:tc>
          <w:tcPr>
            <w:tcW w:type="dxa" w:w="3550"/>
            <w:tcMar>
              <w:top w:type="dxa" w:w="80"/>
              <w:left w:type="dxa" w:w="100"/>
              <w:bottom w:type="dxa" w:w="80"/>
              <w:right w:type="dxa" w:w="100"/>
            </w:tcMar>
            <w:vAlign w:val="top"/>
          </w:tcPr>
          <w:p>
            <w:pPr>
              <w:spacing w:after="40"/>
            </w:pPr>
            <w:r>
              <w:rPr>
                <w:sz w:val="18"/>
                <w:szCs w:val="18"/>
              </w:rPr>
              <w:t xml:space="preserve">Not engaged with.</w:t>
            </w:r>
          </w:p>
        </w:tc>
      </w:tr>
      <w:tr>
        <w:tc>
          <w:tcPr>
            <w:tcW w:type="dxa" w:w="2600"/>
            <w:shd w:fill="F2F2F2" w:val="clear"/>
            <w:tcMar>
              <w:top w:type="dxa" w:w="80"/>
              <w:left w:type="dxa" w:w="100"/>
              <w:bottom w:type="dxa" w:w="80"/>
              <w:right w:type="dxa" w:w="100"/>
            </w:tcMar>
            <w:vAlign w:val="top"/>
          </w:tcPr>
          <w:p>
            <w:pPr>
              <w:spacing w:after="40"/>
            </w:pPr>
            <w:r>
              <w:rPr>
                <w:b/>
                <w:bCs/>
                <w:sz w:val="18"/>
                <w:szCs w:val="18"/>
              </w:rPr>
              <w:t xml:space="preserve">Supplier-wise arithmetic</w:t>
            </w:r>
          </w:p>
        </w:tc>
        <w:tc>
          <w:tcPr>
            <w:tcW w:type="dxa" w:w="3900"/>
            <w:tcMar>
              <w:top w:type="dxa" w:w="80"/>
              <w:left w:type="dxa" w:w="100"/>
              <w:bottom w:type="dxa" w:w="80"/>
              <w:right w:type="dxa" w:w="100"/>
            </w:tcMar>
            <w:vAlign w:val="top"/>
          </w:tcPr>
          <w:p>
            <w:pPr>
              <w:spacing w:after="40"/>
            </w:pPr>
            <w:r>
              <w:rPr>
                <w:sz w:val="18"/>
                <w:szCs w:val="18"/>
              </w:rPr>
              <w:t xml:space="preserve">Para 3.3 narrative states Rs. 6,87,19,152 from Maharashtra Steel Traders, but the accompanying table's two MST rows total only Rs. 6,80,34,407 — a Rs. 6,84,745 shortfall (mirrored by an equal excess on the Hira Steel side).</w:t>
            </w:r>
          </w:p>
        </w:tc>
        <w:tc>
          <w:tcPr>
            <w:tcW w:type="dxa" w:w="3550"/>
            <w:tcMar>
              <w:top w:type="dxa" w:w="80"/>
              <w:left w:type="dxa" w:w="100"/>
              <w:bottom w:type="dxa" w:w="80"/>
              <w:right w:type="dxa" w:w="100"/>
            </w:tcMar>
            <w:vAlign w:val="top"/>
          </w:tcPr>
          <w:p>
            <w:pPr>
              <w:spacing w:after="40"/>
            </w:pPr>
            <w:r>
              <w:rPr>
                <w:color w:val="1E7B34"/>
                <w:sz w:val="18"/>
                <w:szCs w:val="18"/>
              </w:rPr>
              <w:t xml:space="preserve">Independently identifies and quantifies this exact Rs. 6,84,745 inconsistency at para 4.13(i) — verified accurate against the SCN text.</w:t>
            </w:r>
          </w:p>
        </w:tc>
        <w:tc>
          <w:tcPr>
            <w:tcW w:type="dxa" w:w="3550"/>
            <w:tcMar>
              <w:top w:type="dxa" w:w="80"/>
              <w:left w:type="dxa" w:w="100"/>
              <w:bottom w:type="dxa" w:w="80"/>
              <w:right w:type="dxa" w:w="100"/>
            </w:tcMar>
            <w:vAlign w:val="top"/>
          </w:tcPr>
          <w:p>
            <w:pPr>
              <w:spacing w:after="40"/>
            </w:pPr>
            <w:r>
              <w:rPr>
                <w:sz w:val="18"/>
                <w:szCs w:val="18"/>
              </w:rPr>
              <w:t xml:space="preserve">Not addressed.</w:t>
            </w:r>
          </w:p>
        </w:tc>
      </w:tr>
      <w:tr>
        <w:tc>
          <w:tcPr>
            <w:tcW w:type="dxa" w:w="2600"/>
            <w:shd w:fill="F2F2F2" w:val="clear"/>
            <w:tcMar>
              <w:top w:type="dxa" w:w="80"/>
              <w:left w:type="dxa" w:w="100"/>
              <w:bottom w:type="dxa" w:w="80"/>
              <w:right w:type="dxa" w:w="100"/>
            </w:tcMar>
            <w:vAlign w:val="top"/>
          </w:tcPr>
          <w:p>
            <w:pPr>
              <w:spacing w:after="40"/>
            </w:pPr>
            <w:r>
              <w:rPr>
                <w:b/>
                <w:bCs/>
                <w:sz w:val="18"/>
                <w:szCs w:val="18"/>
              </w:rPr>
              <w:t xml:space="preserve">Defense on receipt of goods</w:t>
            </w:r>
          </w:p>
        </w:tc>
        <w:tc>
          <w:tcPr>
            <w:tcW w:type="dxa" w:w="3900"/>
            <w:tcMar>
              <w:top w:type="dxa" w:w="80"/>
              <w:left w:type="dxa" w:w="100"/>
              <w:bottom w:type="dxa" w:w="80"/>
              <w:right w:type="dxa" w:w="100"/>
            </w:tcMar>
            <w:vAlign w:val="top"/>
          </w:tcPr>
          <w:p>
            <w:pPr>
              <w:spacing w:after="40"/>
            </w:pPr>
            <w:r>
              <w:rPr>
                <w:sz w:val="18"/>
                <w:szCs w:val="18"/>
              </w:rPr>
              <w:t xml:space="preserve">Relies on: supplier-proprietors' statements (RUD-1, RUD-2); 23 transporter statements taken 'on sample basis' (RUD-7); E-Vahan vehicle-type mismatches; and invokes S.16(2)(b) and S.155 burden of proof.</w:t>
            </w:r>
          </w:p>
        </w:tc>
        <w:tc>
          <w:tcPr>
            <w:tcW w:type="dxa" w:w="3550"/>
            <w:tcMar>
              <w:top w:type="dxa" w:w="80"/>
              <w:left w:type="dxa" w:w="100"/>
              <w:bottom w:type="dxa" w:w="80"/>
              <w:right w:type="dxa" w:w="100"/>
            </w:tcMar>
            <w:vAlign w:val="top"/>
          </w:tcPr>
          <w:p>
            <w:pPr>
              <w:spacing w:after="40"/>
            </w:pPr>
            <w:r>
              <w:rPr>
                <w:color w:val="1E7B34"/>
                <w:sz w:val="18"/>
                <w:szCs w:val="18"/>
              </w:rPr>
              <w:t xml:space="preserve">Admits invoice/GSTR-2A/payment conditions are unchallenged; narrows the dispute to 'receipt of goods' only; shows the sample transporter statements don't cover the disputed e-way bills; and notes the suppliers' later statements (21.03.2023 / 05.06.2024) concede some supply was made — which the SCN itself (para 3.12) does not quantify.</w:t>
            </w:r>
          </w:p>
        </w:tc>
        <w:tc>
          <w:tcPr>
            <w:tcW w:type="dxa" w:w="3550"/>
            <w:tcMar>
              <w:top w:type="dxa" w:w="80"/>
              <w:left w:type="dxa" w:w="100"/>
              <w:bottom w:type="dxa" w:w="80"/>
              <w:right w:type="dxa" w:w="100"/>
            </w:tcMar>
            <w:vAlign w:val="top"/>
          </w:tcPr>
          <w:p>
            <w:pPr>
              <w:spacing w:after="40"/>
            </w:pPr>
            <w:r>
              <w:rPr>
                <w:sz w:val="18"/>
                <w:szCs w:val="18"/>
              </w:rPr>
              <w:t xml:space="preserve">Argues Section 16(2) conditions are generally satisfied and invokes 'lex non cogit ad impossibilia'; does not engage the specific vehicle-mismatch or transporter-denial evidence the SCN actually relies on.</w:t>
            </w:r>
          </w:p>
        </w:tc>
      </w:tr>
      <w:tr>
        <w:tc>
          <w:tcPr>
            <w:tcW w:type="dxa" w:w="2600"/>
            <w:shd w:fill="F2F2F2" w:val="clear"/>
            <w:tcMar>
              <w:top w:type="dxa" w:w="80"/>
              <w:left w:type="dxa" w:w="100"/>
              <w:bottom w:type="dxa" w:w="80"/>
              <w:right w:type="dxa" w:w="100"/>
            </w:tcMar>
            <w:vAlign w:val="top"/>
          </w:tcPr>
          <w:p>
            <w:pPr>
              <w:spacing w:after="40"/>
            </w:pPr>
            <w:r>
              <w:rPr>
                <w:b/>
                <w:bCs/>
                <w:sz w:val="18"/>
                <w:szCs w:val="18"/>
              </w:rPr>
              <w:t xml:space="preserve">Limitation / extended period</w:t>
            </w:r>
          </w:p>
        </w:tc>
        <w:tc>
          <w:tcPr>
            <w:tcW w:type="dxa" w:w="3900"/>
            <w:tcMar>
              <w:top w:type="dxa" w:w="80"/>
              <w:left w:type="dxa" w:w="100"/>
              <w:bottom w:type="dxa" w:w="80"/>
              <w:right w:type="dxa" w:w="100"/>
            </w:tcMar>
            <w:vAlign w:val="top"/>
          </w:tcPr>
          <w:p>
            <w:pPr>
              <w:spacing w:after="40"/>
            </w:pPr>
            <w:r>
              <w:rPr>
                <w:sz w:val="18"/>
                <w:szCs w:val="18"/>
              </w:rPr>
              <w:t xml:space="preserve">Demand raised under Section 74(1) generally; no limitation computation in the notice; SCN itself is undated in the served copy.</w:t>
            </w:r>
          </w:p>
        </w:tc>
        <w:tc>
          <w:tcPr>
            <w:tcW w:type="dxa" w:w="3550"/>
            <w:tcMar>
              <w:top w:type="dxa" w:w="80"/>
              <w:left w:type="dxa" w:w="100"/>
              <w:bottom w:type="dxa" w:w="80"/>
              <w:right w:type="dxa" w:w="100"/>
            </w:tcMar>
            <w:vAlign w:val="top"/>
          </w:tcPr>
          <w:p>
            <w:pPr>
              <w:spacing w:after="40"/>
            </w:pPr>
            <w:r>
              <w:rPr>
                <w:color w:val="1E7B34"/>
                <w:sz w:val="18"/>
                <w:szCs w:val="18"/>
              </w:rPr>
              <w:t xml:space="preserve">Runs a full S.74(2)/S.74(10) limitation table; argues the FY 2020-21 portion (Rs. 1,35,35,354) may be time-barred depending on the (currently undated) date of issue.</w:t>
            </w:r>
          </w:p>
        </w:tc>
        <w:tc>
          <w:tcPr>
            <w:tcW w:type="dxa" w:w="3550"/>
            <w:tcMar>
              <w:top w:type="dxa" w:w="80"/>
              <w:left w:type="dxa" w:w="100"/>
              <w:bottom w:type="dxa" w:w="80"/>
              <w:right w:type="dxa" w:w="100"/>
            </w:tcMar>
            <w:vAlign w:val="top"/>
          </w:tcPr>
          <w:p>
            <w:pPr>
              <w:spacing w:after="40"/>
            </w:pPr>
            <w:r>
              <w:rPr>
                <w:sz w:val="18"/>
                <w:szCs w:val="18"/>
              </w:rPr>
              <w:t xml:space="preserve">No limitation argument raised.</w:t>
            </w:r>
          </w:p>
        </w:tc>
      </w:tr>
      <w:tr>
        <w:tc>
          <w:tcPr>
            <w:tcW w:type="dxa" w:w="2600"/>
            <w:shd w:fill="F2F2F2" w:val="clear"/>
            <w:tcMar>
              <w:top w:type="dxa" w:w="80"/>
              <w:left w:type="dxa" w:w="100"/>
              <w:bottom w:type="dxa" w:w="80"/>
              <w:right w:type="dxa" w:w="100"/>
            </w:tcMar>
            <w:vAlign w:val="top"/>
          </w:tcPr>
          <w:p>
            <w:pPr>
              <w:spacing w:after="40"/>
            </w:pPr>
            <w:r>
              <w:rPr>
                <w:b/>
                <w:bCs/>
                <w:sz w:val="18"/>
                <w:szCs w:val="18"/>
              </w:rPr>
              <w:t xml:space="preserve">Cross-examination / natural justice</w:t>
            </w:r>
          </w:p>
        </w:tc>
        <w:tc>
          <w:tcPr>
            <w:tcW w:type="dxa" w:w="3900"/>
            <w:tcMar>
              <w:top w:type="dxa" w:w="80"/>
              <w:left w:type="dxa" w:w="100"/>
              <w:bottom w:type="dxa" w:w="80"/>
              <w:right w:type="dxa" w:w="100"/>
            </w:tcMar>
            <w:vAlign w:val="top"/>
          </w:tcPr>
          <w:p>
            <w:pPr>
              <w:spacing w:after="40"/>
            </w:pPr>
            <w:r>
              <w:rPr>
                <w:sz w:val="18"/>
                <w:szCs w:val="18"/>
              </w:rPr>
              <w:t xml:space="preserve">Relies on statements of the two supplier-proprietors and 23 transporters without the noticee's participation in recording them.</w:t>
            </w:r>
          </w:p>
        </w:tc>
        <w:tc>
          <w:tcPr>
            <w:tcW w:type="dxa" w:w="3550"/>
            <w:tcMar>
              <w:top w:type="dxa" w:w="80"/>
              <w:left w:type="dxa" w:w="100"/>
              <w:bottom w:type="dxa" w:w="80"/>
              <w:right w:type="dxa" w:w="100"/>
            </w:tcMar>
            <w:vAlign w:val="top"/>
          </w:tcPr>
          <w:p>
            <w:pPr>
              <w:spacing w:after="40"/>
            </w:pPr>
            <w:r>
              <w:rPr>
                <w:color w:val="1E7B34"/>
                <w:sz w:val="18"/>
                <w:szCs w:val="18"/>
              </w:rPr>
              <w:t xml:space="preserve">Demands cross-examination under Section 136 as a pre-condition to adjudication (Part 5), citing K.I. Pavunny and Vinod Solanki.</w:t>
            </w:r>
          </w:p>
        </w:tc>
        <w:tc>
          <w:tcPr>
            <w:tcW w:type="dxa" w:w="3550"/>
            <w:tcMar>
              <w:top w:type="dxa" w:w="80"/>
              <w:left w:type="dxa" w:w="100"/>
              <w:bottom w:type="dxa" w:w="80"/>
              <w:right w:type="dxa" w:w="100"/>
            </w:tcMar>
            <w:vAlign w:val="top"/>
          </w:tcPr>
          <w:p>
            <w:pPr>
              <w:spacing w:after="40"/>
            </w:pPr>
            <w:r>
              <w:rPr>
                <w:sz w:val="18"/>
                <w:szCs w:val="18"/>
              </w:rPr>
              <w:t xml:space="preserve">Cites Brindavan Beverages for want of relied-upon documents, but does not separately demand cross-examination under Section 136.</w:t>
            </w:r>
          </w:p>
        </w:tc>
      </w:tr>
      <w:tr>
        <w:tc>
          <w:tcPr>
            <w:tcW w:type="dxa" w:w="2600"/>
            <w:shd w:fill="F2F2F2" w:val="clear"/>
            <w:tcMar>
              <w:top w:type="dxa" w:w="80"/>
              <w:left w:type="dxa" w:w="100"/>
              <w:bottom w:type="dxa" w:w="80"/>
              <w:right w:type="dxa" w:w="100"/>
            </w:tcMar>
            <w:vAlign w:val="top"/>
          </w:tcPr>
          <w:p>
            <w:pPr>
              <w:spacing w:after="40"/>
            </w:pPr>
            <w:r>
              <w:rPr>
                <w:b/>
                <w:bCs/>
                <w:sz w:val="18"/>
                <w:szCs w:val="18"/>
              </w:rPr>
              <w:t xml:space="preserve">Drafting / filing status</w:t>
            </w:r>
          </w:p>
        </w:tc>
        <w:tc>
          <w:tcPr>
            <w:tcW w:type="dxa" w:w="3900"/>
            <w:tcMar>
              <w:top w:type="dxa" w:w="80"/>
              <w:left w:type="dxa" w:w="100"/>
              <w:bottom w:type="dxa" w:w="80"/>
              <w:right w:type="dxa" w:w="100"/>
            </w:tcMar>
            <w:vAlign w:val="top"/>
          </w:tcPr>
          <w:p>
            <w:pPr>
              <w:spacing w:after="40"/>
            </w:pPr>
            <w:r>
              <w:rPr>
                <w:sz w:val="18"/>
                <w:szCs w:val="18"/>
              </w:rPr>
              <w:t xml:space="preserve">—</w:t>
            </w:r>
          </w:p>
        </w:tc>
        <w:tc>
          <w:tcPr>
            <w:tcW w:type="dxa" w:w="3550"/>
            <w:tcMar>
              <w:top w:type="dxa" w:w="80"/>
              <w:left w:type="dxa" w:w="100"/>
              <w:bottom w:type="dxa" w:w="80"/>
              <w:right w:type="dxa" w:w="100"/>
            </w:tcMar>
            <w:vAlign w:val="top"/>
          </w:tcPr>
          <w:p>
            <w:pPr>
              <w:spacing w:after="40"/>
            </w:pPr>
            <w:r>
              <w:rPr>
                <w:sz w:val="18"/>
                <w:szCs w:val="18"/>
              </w:rPr>
              <w:t xml:space="preserve">Working draft: contains [INSERT]/[CONFIRM]/TO BE VERIFIED tags and an internal 'Note to Counsel' page with filing strategy — more accurate, but not yet filing-ready.</w:t>
            </w:r>
          </w:p>
        </w:tc>
        <w:tc>
          <w:tcPr>
            <w:tcW w:type="dxa" w:w="3550"/>
            <w:tcMar>
              <w:top w:type="dxa" w:w="80"/>
              <w:left w:type="dxa" w:w="100"/>
              <w:bottom w:type="dxa" w:w="80"/>
              <w:right w:type="dxa" w:w="100"/>
            </w:tcMar>
            <w:vAlign w:val="top"/>
          </w:tcPr>
          <w:p>
            <w:pPr>
              <w:spacing w:after="40"/>
            </w:pPr>
            <w:r>
              <w:rPr>
                <w:color w:val="C00000"/>
                <w:sz w:val="18"/>
                <w:szCs w:val="18"/>
              </w:rPr>
              <w:t xml:space="preserve">Reads as a finished, filing-ready document — no placeholders — but contains at least two grounds (DRC-01A, forum) that conflict with the SCN's own record.</w:t>
            </w:r>
          </w:p>
        </w:tc>
      </w:tr>
    </w:tbl>
    <w:p>
      <w:pPr>
        <w:spacing w:after="160"/>
      </w:pPr>
    </w:p>
    <w:p>
      <w:pPr>
        <w:pStyle w:val="Heading1"/>
        <w:spacing w:after="120" w:before="260"/>
      </w:pPr>
      <w:r>
        <w:rPr>
          <w:b/>
          <w:bCs/>
          <w:color w:val="1F3864"/>
        </w:rPr>
        <w:t xml:space="preserve">4. Key factual flags</w:t>
      </w:r>
    </w:p>
    <w:p>
      <w:pPr>
        <w:pStyle w:val="ListParagraph"/>
        <w:numPr>
          <w:ilvl w:val="0"/>
          <w:numId w:val="1"/>
        </w:numPr>
        <w:spacing w:after="60"/>
      </w:pPr>
      <w:r>
        <w:rPr>
          <w:color w:val="C00000"/>
        </w:rPr>
        <w:t xml:space="preserve">DRC-01A contradiction: Doc 2's lead procedural objection — that the Department never issued Form GST DRC-01A — is directly contradicted by para 10 of the SCN, which records the DRC-01A dated 26.05.2026 and the noticee's own reply of 01.06.2026. Filing this ground as drafted risks the officer rejecting the entire reply's credibility on a checkable fact.</w:t>
      </w:r>
    </w:p>
    <w:p>
      <w:pPr>
        <w:pStyle w:val="ListParagraph"/>
        <w:numPr>
          <w:ilvl w:val="0"/>
          <w:numId w:val="1"/>
        </w:numPr>
        <w:spacing w:after="60"/>
      </w:pPr>
      <w:r>
        <w:rPr>
          <w:color w:val="C00000"/>
        </w:rPr>
        <w:t xml:space="preserve">Wrong forum/officer: Doc 2 is captioned for the “Assistant Commissioner / Proper Officer... Division-Satpur”, whereas the SCN was issued and signed by the Additional Commissioner (Prev.), CGST &amp; CX, Nashik Commissionerate, as a Centralized SCN. Doc 1's caption matches the signatory.</w:t>
      </w:r>
    </w:p>
    <w:p>
      <w:pPr>
        <w:pStyle w:val="ListParagraph"/>
        <w:numPr>
          <w:ilvl w:val="0"/>
          <w:numId w:val="1"/>
        </w:numPr>
        <w:spacing w:after="60"/>
      </w:pPr>
      <w:r>
        <w:rPr>
          <w:color w:val="C00000"/>
        </w:rPr>
        <w:t xml:space="preserve">Business description: the SCN's own opening paragraph (an apparent drafting error, since it conflicts with the noticee's own statement at para 3.5 and the violation clauses at para 8) describes the noticee as a timber/wood retailer. Doc 1 treats this as an internal inconsistency to raise as a ground; Doc 2 instead adopts the wood/timber description as the noticee's actual business — which is not supported by the noticee's own statements on record.</w:t>
      </w:r>
    </w:p>
    <w:p>
      <w:pPr>
        <w:pStyle w:val="ListParagraph"/>
        <w:numPr>
          <w:ilvl w:val="0"/>
          <w:numId w:val="1"/>
        </w:numPr>
        <w:spacing w:after="60"/>
      </w:pPr>
      <w:r>
        <w:rPr>
          <w:color w:val="1E7B34"/>
        </w:rPr>
        <w:t xml:space="preserve">Doc 1's quantification is independently verifiable: the Rs. 45,94,791 (Table A) and Rs. 1,96,24,576 (Table B) figures, and the Rs. 6,84,745 supplier-wise arithmetic inconsistency, all reconcile exactly against the SCN's own tables and narrative.</w:t>
      </w:r>
    </w:p>
    <w:p>
      <w:pPr>
        <w:pStyle w:val="ListParagraph"/>
        <w:numPr>
          <w:ilvl w:val="0"/>
          <w:numId w:val="1"/>
        </w:numPr>
        <w:spacing w:after="60"/>
      </w:pPr>
      <w:r>
        <w:rPr>
          <w:color w:val="C00000"/>
        </w:rPr>
        <w:t xml:space="preserve">Doc 2 cites three cases (Bharti Airtel, Cosmic Radio v. CCE, Tamil Nadu Housing Board v. CCE) that do not appear in Doc 1's 19-entry, cross-checked authorities table. These should be independently verified against the reporter before filing.</w:t>
      </w:r>
    </w:p>
    <w:p>
      <w:pPr>
        <w:spacing w:after="160"/>
      </w:pPr>
    </w:p>
    <w:p>
      <w:pPr>
        <w:pStyle w:val="Heading1"/>
        <w:spacing w:after="120" w:before="260"/>
      </w:pPr>
      <w:r>
        <w:rPr>
          <w:b/>
          <w:bCs/>
          <w:color w:val="1F3864"/>
        </w:rPr>
        <w:t xml:space="preserve">5. Case-law comparison</w:t>
      </w:r>
    </w:p>
    <w:tbl>
      <w:tblPr>
        <w:tblW w:type="dxa" w:w="13200"/>
        <w:tblBorders>
          <w:top w:val="single" w:color="auto" w:sz="4"/>
          <w:left w:val="single" w:color="auto" w:sz="4"/>
          <w:bottom w:val="single" w:color="auto" w:sz="4"/>
          <w:right w:val="single" w:color="auto" w:sz="4"/>
          <w:insideH w:val="single" w:color="auto" w:sz="4"/>
          <w:insideV w:val="single" w:color="auto" w:sz="4"/>
        </w:tblBorders>
      </w:tblPr>
      <w:tblGrid>
        <w:gridCol w:w="3200"/>
        <w:gridCol w:w="2600"/>
        <w:gridCol w:w="1400"/>
        <w:gridCol w:w="1400"/>
        <w:gridCol w:w="4600"/>
      </w:tblGrid>
      <w:tr>
        <w:tc>
          <w:tcPr>
            <w:tcW w:type="dxa" w:w="3200"/>
            <w:shd w:fill="1F3864" w:val="clear"/>
            <w:tcMar>
              <w:top w:type="dxa" w:w="80"/>
              <w:left w:type="dxa" w:w="100"/>
              <w:bottom w:type="dxa" w:w="80"/>
              <w:right w:type="dxa" w:w="100"/>
            </w:tcMar>
            <w:vAlign w:val="center"/>
          </w:tcPr>
          <w:p>
            <w:r>
              <w:rPr>
                <w:b/>
                <w:bCs/>
                <w:color w:val="FFFFFF"/>
                <w:sz w:val="19"/>
                <w:szCs w:val="19"/>
              </w:rPr>
              <w:t xml:space="preserve">Case</w:t>
            </w:r>
          </w:p>
        </w:tc>
        <w:tc>
          <w:tcPr>
            <w:tcW w:type="dxa" w:w="2600"/>
            <w:shd w:fill="1F3864" w:val="clear"/>
            <w:tcMar>
              <w:top w:type="dxa" w:w="80"/>
              <w:left w:type="dxa" w:w="100"/>
              <w:bottom w:type="dxa" w:w="80"/>
              <w:right w:type="dxa" w:w="100"/>
            </w:tcMar>
            <w:vAlign w:val="center"/>
          </w:tcPr>
          <w:p>
            <w:r>
              <w:rPr>
                <w:b/>
                <w:bCs/>
                <w:color w:val="FFFFFF"/>
                <w:sz w:val="19"/>
                <w:szCs w:val="19"/>
              </w:rPr>
              <w:t xml:space="preserve">Citation (as given)</w:t>
            </w:r>
          </w:p>
        </w:tc>
        <w:tc>
          <w:tcPr>
            <w:tcW w:type="dxa" w:w="1400"/>
            <w:shd w:fill="1F3864" w:val="clear"/>
            <w:tcMar>
              <w:top w:type="dxa" w:w="80"/>
              <w:left w:type="dxa" w:w="100"/>
              <w:bottom w:type="dxa" w:w="80"/>
              <w:right w:type="dxa" w:w="100"/>
            </w:tcMar>
            <w:vAlign w:val="center"/>
          </w:tcPr>
          <w:p>
            <w:r>
              <w:rPr>
                <w:b/>
                <w:bCs/>
                <w:color w:val="FFFFFF"/>
                <w:sz w:val="19"/>
                <w:szCs w:val="19"/>
              </w:rPr>
              <w:t xml:space="preserve">Doc 1</w:t>
            </w:r>
          </w:p>
        </w:tc>
        <w:tc>
          <w:tcPr>
            <w:tcW w:type="dxa" w:w="1400"/>
            <w:shd w:fill="1F3864" w:val="clear"/>
            <w:tcMar>
              <w:top w:type="dxa" w:w="80"/>
              <w:left w:type="dxa" w:w="100"/>
              <w:bottom w:type="dxa" w:w="80"/>
              <w:right w:type="dxa" w:w="100"/>
            </w:tcMar>
            <w:vAlign w:val="center"/>
          </w:tcPr>
          <w:p>
            <w:r>
              <w:rPr>
                <w:b/>
                <w:bCs/>
                <w:color w:val="FFFFFF"/>
                <w:sz w:val="19"/>
                <w:szCs w:val="19"/>
              </w:rPr>
              <w:t xml:space="preserve">Doc 2</w:t>
            </w:r>
          </w:p>
        </w:tc>
        <w:tc>
          <w:tcPr>
            <w:tcW w:type="dxa" w:w="4600"/>
            <w:shd w:fill="1F3864" w:val="clear"/>
            <w:tcMar>
              <w:top w:type="dxa" w:w="80"/>
              <w:left w:type="dxa" w:w="100"/>
              <w:bottom w:type="dxa" w:w="80"/>
              <w:right w:type="dxa" w:w="100"/>
            </w:tcMar>
            <w:vAlign w:val="center"/>
          </w:tcPr>
          <w:p>
            <w:r>
              <w:rPr>
                <w:b/>
                <w:bCs/>
                <w:color w:val="FFFFFF"/>
                <w:sz w:val="19"/>
                <w:szCs w:val="19"/>
              </w:rPr>
              <w:t xml:space="preserve">Note</w:t>
            </w:r>
          </w:p>
        </w:tc>
      </w:tr>
      <w:tr>
        <w:tc>
          <w:tcPr>
            <w:tcW w:type="dxa" w:w="3200"/>
            <w:tcMar>
              <w:top w:type="dxa" w:w="80"/>
              <w:left w:type="dxa" w:w="100"/>
              <w:bottom w:type="dxa" w:w="80"/>
              <w:right w:type="dxa" w:w="100"/>
            </w:tcMar>
            <w:vAlign w:val="top"/>
          </w:tcPr>
          <w:p>
            <w:pPr>
              <w:spacing w:after="40"/>
            </w:pPr>
            <w:r>
              <w:rPr>
                <w:b/>
                <w:bCs/>
                <w:sz w:val="18"/>
                <w:szCs w:val="18"/>
              </w:rPr>
              <w:t xml:space="preserve">Suncraft Energy v. Asst. Commissioner</w:t>
            </w:r>
          </w:p>
        </w:tc>
        <w:tc>
          <w:tcPr>
            <w:tcW w:type="dxa" w:w="2600"/>
            <w:tcMar>
              <w:top w:type="dxa" w:w="80"/>
              <w:left w:type="dxa" w:w="100"/>
              <w:bottom w:type="dxa" w:w="80"/>
              <w:right w:type="dxa" w:w="100"/>
            </w:tcMar>
            <w:vAlign w:val="top"/>
          </w:tcPr>
          <w:p>
            <w:pPr>
              <w:spacing w:after="40"/>
            </w:pPr>
            <w:r>
              <w:rPr>
                <w:sz w:val="18"/>
                <w:szCs w:val="18"/>
              </w:rPr>
              <w:t xml:space="preserve">Cal HC / SLP dismissed</w:t>
            </w:r>
          </w:p>
        </w:tc>
        <w:tc>
          <w:tcPr>
            <w:tcW w:type="dxa" w:w="1400"/>
            <w:tcMar>
              <w:top w:type="dxa" w:w="80"/>
              <w:left w:type="dxa" w:w="100"/>
              <w:bottom w:type="dxa" w:w="80"/>
              <w:right w:type="dxa" w:w="100"/>
            </w:tcMar>
            <w:vAlign w:val="top"/>
          </w:tcPr>
          <w:p>
            <w:pPr>
              <w:spacing w:after="40"/>
            </w:pPr>
            <w:r>
              <w:rPr>
                <w:b/>
                <w:bCs/>
                <w:color w:val="1E7B34"/>
                <w:sz w:val="18"/>
                <w:szCs w:val="18"/>
              </w:rPr>
              <w:t xml:space="preserve">Yes</w:t>
            </w:r>
          </w:p>
        </w:tc>
        <w:tc>
          <w:tcPr>
            <w:tcW w:type="dxa" w:w="1400"/>
            <w:tcMar>
              <w:top w:type="dxa" w:w="80"/>
              <w:left w:type="dxa" w:w="100"/>
              <w:bottom w:type="dxa" w:w="80"/>
              <w:right w:type="dxa" w:w="100"/>
            </w:tcMar>
            <w:vAlign w:val="top"/>
          </w:tcPr>
          <w:p>
            <w:pPr>
              <w:spacing w:after="40"/>
            </w:pPr>
            <w:r>
              <w:rPr>
                <w:b/>
                <w:bCs/>
                <w:color w:val="1E7B34"/>
                <w:sz w:val="18"/>
                <w:szCs w:val="18"/>
              </w:rPr>
              <w:t xml:space="preserve">Yes</w:t>
            </w:r>
          </w:p>
        </w:tc>
        <w:tc>
          <w:tcPr>
            <w:tcW w:type="dxa" w:w="4600"/>
            <w:tcMar>
              <w:top w:type="dxa" w:w="80"/>
              <w:left w:type="dxa" w:w="100"/>
              <w:bottom w:type="dxa" w:w="80"/>
              <w:right w:type="dxa" w:w="100"/>
            </w:tcMar>
            <w:vAlign w:val="top"/>
          </w:tcPr>
          <w:p>
            <w:pPr>
              <w:spacing w:after="40"/>
            </w:pPr>
            <w:r>
              <w:rPr>
                <w:sz w:val="18"/>
                <w:szCs w:val="18"/>
              </w:rPr>
              <w:t xml:space="preserve">Common core authority on proceeding against the supplier before the buyer; Doc 1 flags the SLP dismissal recorded low tax effect and cites the HC judgment itself.</w:t>
            </w:r>
          </w:p>
        </w:tc>
      </w:tr>
      <w:tr>
        <w:tc>
          <w:tcPr>
            <w:tcW w:type="dxa" w:w="3200"/>
            <w:tcMar>
              <w:top w:type="dxa" w:w="80"/>
              <w:left w:type="dxa" w:w="100"/>
              <w:bottom w:type="dxa" w:w="80"/>
              <w:right w:type="dxa" w:w="100"/>
            </w:tcMar>
            <w:vAlign w:val="top"/>
          </w:tcPr>
          <w:p>
            <w:pPr>
              <w:spacing w:after="40"/>
            </w:pPr>
            <w:r>
              <w:rPr>
                <w:b/>
                <w:bCs/>
                <w:sz w:val="18"/>
                <w:szCs w:val="18"/>
              </w:rPr>
              <w:t xml:space="preserve">D.Y. Beathel Enterprises v. State Tax Officer</w:t>
            </w:r>
          </w:p>
        </w:tc>
        <w:tc>
          <w:tcPr>
            <w:tcW w:type="dxa" w:w="2600"/>
            <w:tcMar>
              <w:top w:type="dxa" w:w="80"/>
              <w:left w:type="dxa" w:w="100"/>
              <w:bottom w:type="dxa" w:w="80"/>
              <w:right w:type="dxa" w:w="100"/>
            </w:tcMar>
            <w:vAlign w:val="top"/>
          </w:tcPr>
          <w:p>
            <w:pPr>
              <w:spacing w:after="40"/>
            </w:pPr>
            <w:r>
              <w:rPr>
                <w:sz w:val="18"/>
                <w:szCs w:val="18"/>
              </w:rPr>
              <w:t xml:space="preserve">Mad HC</w:t>
            </w:r>
          </w:p>
        </w:tc>
        <w:tc>
          <w:tcPr>
            <w:tcW w:type="dxa" w:w="1400"/>
            <w:tcMar>
              <w:top w:type="dxa" w:w="80"/>
              <w:left w:type="dxa" w:w="100"/>
              <w:bottom w:type="dxa" w:w="80"/>
              <w:right w:type="dxa" w:w="100"/>
            </w:tcMar>
            <w:vAlign w:val="top"/>
          </w:tcPr>
          <w:p>
            <w:pPr>
              <w:spacing w:after="40"/>
            </w:pPr>
            <w:r>
              <w:rPr>
                <w:b/>
                <w:bCs/>
                <w:color w:val="1E7B34"/>
                <w:sz w:val="18"/>
                <w:szCs w:val="18"/>
              </w:rPr>
              <w:t xml:space="preserve">Yes</w:t>
            </w:r>
          </w:p>
        </w:tc>
        <w:tc>
          <w:tcPr>
            <w:tcW w:type="dxa" w:w="1400"/>
            <w:tcMar>
              <w:top w:type="dxa" w:w="80"/>
              <w:left w:type="dxa" w:w="100"/>
              <w:bottom w:type="dxa" w:w="80"/>
              <w:right w:type="dxa" w:w="100"/>
            </w:tcMar>
            <w:vAlign w:val="top"/>
          </w:tcPr>
          <w:p>
            <w:pPr>
              <w:spacing w:after="40"/>
            </w:pPr>
            <w:r>
              <w:rPr>
                <w:b/>
                <w:bCs/>
                <w:color w:val="1E7B34"/>
                <w:sz w:val="18"/>
                <w:szCs w:val="18"/>
              </w:rPr>
              <w:t xml:space="preserve">Yes</w:t>
            </w:r>
          </w:p>
        </w:tc>
        <w:tc>
          <w:tcPr>
            <w:tcW w:type="dxa" w:w="4600"/>
            <w:tcMar>
              <w:top w:type="dxa" w:w="80"/>
              <w:left w:type="dxa" w:w="100"/>
              <w:bottom w:type="dxa" w:w="80"/>
              <w:right w:type="dxa" w:w="100"/>
            </w:tcMar>
            <w:vAlign w:val="top"/>
          </w:tcPr>
          <w:p>
            <w:pPr>
              <w:spacing w:after="40"/>
            </w:pPr>
            <w:r>
              <w:rPr>
                <w:sz w:val="18"/>
                <w:szCs w:val="18"/>
              </w:rPr>
              <w:t xml:space="preserve">Common core authority; used identically in both.</w:t>
            </w:r>
          </w:p>
        </w:tc>
      </w:tr>
      <w:tr>
        <w:tc>
          <w:tcPr>
            <w:tcW w:type="dxa" w:w="3200"/>
            <w:tcMar>
              <w:top w:type="dxa" w:w="80"/>
              <w:left w:type="dxa" w:w="100"/>
              <w:bottom w:type="dxa" w:w="80"/>
              <w:right w:type="dxa" w:w="100"/>
            </w:tcMar>
            <w:vAlign w:val="top"/>
          </w:tcPr>
          <w:p>
            <w:pPr>
              <w:spacing w:after="40"/>
            </w:pPr>
            <w:r>
              <w:rPr>
                <w:b/>
                <w:bCs/>
                <w:sz w:val="18"/>
                <w:szCs w:val="18"/>
              </w:rPr>
              <w:t xml:space="preserve">CCE v. Brindavan Beverages (P) Ltd.</w:t>
            </w:r>
          </w:p>
        </w:tc>
        <w:tc>
          <w:tcPr>
            <w:tcW w:type="dxa" w:w="2600"/>
            <w:tcMar>
              <w:top w:type="dxa" w:w="80"/>
              <w:left w:type="dxa" w:w="100"/>
              <w:bottom w:type="dxa" w:w="80"/>
              <w:right w:type="dxa" w:w="100"/>
            </w:tcMar>
            <w:vAlign w:val="top"/>
          </w:tcPr>
          <w:p>
            <w:pPr>
              <w:spacing w:after="40"/>
            </w:pPr>
            <w:r>
              <w:rPr>
                <w:sz w:val="18"/>
                <w:szCs w:val="18"/>
              </w:rPr>
              <w:t xml:space="preserve">(2007) 5 SCC 388 / 2007 E.L.T. 487 (S.C.)</w:t>
            </w:r>
          </w:p>
        </w:tc>
        <w:tc>
          <w:tcPr>
            <w:tcW w:type="dxa" w:w="1400"/>
            <w:tcMar>
              <w:top w:type="dxa" w:w="80"/>
              <w:left w:type="dxa" w:w="100"/>
              <w:bottom w:type="dxa" w:w="80"/>
              <w:right w:type="dxa" w:w="100"/>
            </w:tcMar>
            <w:vAlign w:val="top"/>
          </w:tcPr>
          <w:p>
            <w:pPr>
              <w:spacing w:after="40"/>
            </w:pPr>
            <w:r>
              <w:rPr>
                <w:b/>
                <w:bCs/>
                <w:color w:val="1E7B34"/>
                <w:sz w:val="18"/>
                <w:szCs w:val="18"/>
              </w:rPr>
              <w:t xml:space="preserve">Yes</w:t>
            </w:r>
          </w:p>
        </w:tc>
        <w:tc>
          <w:tcPr>
            <w:tcW w:type="dxa" w:w="1400"/>
            <w:tcMar>
              <w:top w:type="dxa" w:w="80"/>
              <w:left w:type="dxa" w:w="100"/>
              <w:bottom w:type="dxa" w:w="80"/>
              <w:right w:type="dxa" w:w="100"/>
            </w:tcMar>
            <w:vAlign w:val="top"/>
          </w:tcPr>
          <w:p>
            <w:pPr>
              <w:spacing w:after="40"/>
            </w:pPr>
            <w:r>
              <w:rPr>
                <w:b/>
                <w:bCs/>
                <w:color w:val="1E7B34"/>
                <w:sz w:val="18"/>
                <w:szCs w:val="18"/>
              </w:rPr>
              <w:t xml:space="preserve">Yes</w:t>
            </w:r>
          </w:p>
        </w:tc>
        <w:tc>
          <w:tcPr>
            <w:tcW w:type="dxa" w:w="4600"/>
            <w:tcMar>
              <w:top w:type="dxa" w:w="80"/>
              <w:left w:type="dxa" w:w="100"/>
              <w:bottom w:type="dxa" w:w="80"/>
              <w:right w:type="dxa" w:w="100"/>
            </w:tcMar>
            <w:vAlign w:val="top"/>
          </w:tcPr>
          <w:p>
            <w:pPr>
              <w:spacing w:after="40"/>
            </w:pPr>
            <w:r>
              <w:rPr>
                <w:sz w:val="18"/>
                <w:szCs w:val="18"/>
              </w:rPr>
              <w:t xml:space="preserve">Both rely on it; Doc 1 for 'SCN is the foundation of the demand', Doc 2 for want of relied-upon documents.</w:t>
            </w:r>
          </w:p>
        </w:tc>
      </w:tr>
      <w:tr>
        <w:tc>
          <w:tcPr>
            <w:tcW w:type="dxa" w:w="3200"/>
            <w:tcMar>
              <w:top w:type="dxa" w:w="80"/>
              <w:left w:type="dxa" w:w="100"/>
              <w:bottom w:type="dxa" w:w="80"/>
              <w:right w:type="dxa" w:w="100"/>
            </w:tcMar>
            <w:vAlign w:val="top"/>
          </w:tcPr>
          <w:p>
            <w:pPr>
              <w:spacing w:after="40"/>
            </w:pPr>
            <w:r>
              <w:rPr>
                <w:b/>
                <w:bCs/>
                <w:sz w:val="18"/>
                <w:szCs w:val="18"/>
              </w:rPr>
              <w:t xml:space="preserve">Union of India v. Bharti Airtel Ltd.</w:t>
            </w:r>
          </w:p>
        </w:tc>
        <w:tc>
          <w:tcPr>
            <w:tcW w:type="dxa" w:w="2600"/>
            <w:tcMar>
              <w:top w:type="dxa" w:w="80"/>
              <w:left w:type="dxa" w:w="100"/>
              <w:bottom w:type="dxa" w:w="80"/>
              <w:right w:type="dxa" w:w="100"/>
            </w:tcMar>
            <w:vAlign w:val="top"/>
          </w:tcPr>
          <w:p>
            <w:pPr>
              <w:spacing w:after="40"/>
            </w:pPr>
            <w:r>
              <w:rPr>
                <w:sz w:val="18"/>
                <w:szCs w:val="18"/>
              </w:rPr>
              <w:t xml:space="preserve">(2021) 131 taxmann.com 319 (SC)</w:t>
            </w:r>
          </w:p>
        </w:tc>
        <w:tc>
          <w:tcPr>
            <w:tcW w:type="dxa" w:w="1400"/>
            <w:tcMar>
              <w:top w:type="dxa" w:w="80"/>
              <w:left w:type="dxa" w:w="100"/>
              <w:bottom w:type="dxa" w:w="80"/>
              <w:right w:type="dxa" w:w="100"/>
            </w:tcMar>
            <w:vAlign w:val="top"/>
          </w:tcPr>
          <w:p>
            <w:pPr>
              <w:spacing w:after="40"/>
            </w:pPr>
            <w:r>
              <w:rPr>
                <w:b/>
                <w:bCs/>
                <w:color w:val="808080"/>
                <w:sz w:val="18"/>
                <w:szCs w:val="18"/>
              </w:rPr>
              <w:t xml:space="preserve">No</w:t>
            </w:r>
          </w:p>
        </w:tc>
        <w:tc>
          <w:tcPr>
            <w:tcW w:type="dxa" w:w="1400"/>
            <w:tcMar>
              <w:top w:type="dxa" w:w="80"/>
              <w:left w:type="dxa" w:w="100"/>
              <w:bottom w:type="dxa" w:w="80"/>
              <w:right w:type="dxa" w:w="100"/>
            </w:tcMar>
            <w:vAlign w:val="top"/>
          </w:tcPr>
          <w:p>
            <w:pPr>
              <w:spacing w:after="40"/>
            </w:pPr>
            <w:r>
              <w:rPr>
                <w:b/>
                <w:bCs/>
                <w:color w:val="1E7B34"/>
                <w:sz w:val="18"/>
                <w:szCs w:val="18"/>
              </w:rPr>
              <w:t xml:space="preserve">Yes</w:t>
            </w:r>
          </w:p>
        </w:tc>
        <w:tc>
          <w:tcPr>
            <w:tcW w:type="dxa" w:w="4600"/>
            <w:tcMar>
              <w:top w:type="dxa" w:w="80"/>
              <w:left w:type="dxa" w:w="100"/>
              <w:bottom w:type="dxa" w:w="80"/>
              <w:right w:type="dxa" w:w="100"/>
            </w:tcMar>
            <w:vAlign w:val="top"/>
          </w:tcPr>
          <w:p>
            <w:pPr>
              <w:spacing w:after="40"/>
            </w:pPr>
            <w:r>
              <w:rPr>
                <w:sz w:val="18"/>
                <w:szCs w:val="18"/>
              </w:rPr>
              <w:t xml:space="preserve">Does not appear in Doc 1's 19-entry verified authorities table — recommend independently verifying this citation before filing.</w:t>
            </w:r>
          </w:p>
        </w:tc>
      </w:tr>
      <w:tr>
        <w:tc>
          <w:tcPr>
            <w:tcW w:type="dxa" w:w="3200"/>
            <w:tcMar>
              <w:top w:type="dxa" w:w="80"/>
              <w:left w:type="dxa" w:w="100"/>
              <w:bottom w:type="dxa" w:w="80"/>
              <w:right w:type="dxa" w:w="100"/>
            </w:tcMar>
            <w:vAlign w:val="top"/>
          </w:tcPr>
          <w:p>
            <w:pPr>
              <w:spacing w:after="40"/>
            </w:pPr>
            <w:r>
              <w:rPr>
                <w:b/>
                <w:bCs/>
                <w:sz w:val="18"/>
                <w:szCs w:val="18"/>
              </w:rPr>
              <w:t xml:space="preserve">Cosmic Radio v. CCE</w:t>
            </w:r>
          </w:p>
        </w:tc>
        <w:tc>
          <w:tcPr>
            <w:tcW w:type="dxa" w:w="2600"/>
            <w:tcMar>
              <w:top w:type="dxa" w:w="80"/>
              <w:left w:type="dxa" w:w="100"/>
              <w:bottom w:type="dxa" w:w="80"/>
              <w:right w:type="dxa" w:w="100"/>
            </w:tcMar>
            <w:vAlign w:val="top"/>
          </w:tcPr>
          <w:p>
            <w:pPr>
              <w:spacing w:after="40"/>
            </w:pPr>
            <w:r>
              <w:rPr>
                <w:sz w:val="18"/>
                <w:szCs w:val="18"/>
              </w:rPr>
              <w:t xml:space="preserve">(1995) 75 ELT 721</w:t>
            </w:r>
          </w:p>
        </w:tc>
        <w:tc>
          <w:tcPr>
            <w:tcW w:type="dxa" w:w="1400"/>
            <w:tcMar>
              <w:top w:type="dxa" w:w="80"/>
              <w:left w:type="dxa" w:w="100"/>
              <w:bottom w:type="dxa" w:w="80"/>
              <w:right w:type="dxa" w:w="100"/>
            </w:tcMar>
            <w:vAlign w:val="top"/>
          </w:tcPr>
          <w:p>
            <w:pPr>
              <w:spacing w:after="40"/>
            </w:pPr>
            <w:r>
              <w:rPr>
                <w:b/>
                <w:bCs/>
                <w:color w:val="808080"/>
                <w:sz w:val="18"/>
                <w:szCs w:val="18"/>
              </w:rPr>
              <w:t xml:space="preserve">No</w:t>
            </w:r>
          </w:p>
        </w:tc>
        <w:tc>
          <w:tcPr>
            <w:tcW w:type="dxa" w:w="1400"/>
            <w:tcMar>
              <w:top w:type="dxa" w:w="80"/>
              <w:left w:type="dxa" w:w="100"/>
              <w:bottom w:type="dxa" w:w="80"/>
              <w:right w:type="dxa" w:w="100"/>
            </w:tcMar>
            <w:vAlign w:val="top"/>
          </w:tcPr>
          <w:p>
            <w:pPr>
              <w:spacing w:after="40"/>
            </w:pPr>
            <w:r>
              <w:rPr>
                <w:b/>
                <w:bCs/>
                <w:color w:val="1E7B34"/>
                <w:sz w:val="18"/>
                <w:szCs w:val="18"/>
              </w:rPr>
              <w:t xml:space="preserve">Yes</w:t>
            </w:r>
          </w:p>
        </w:tc>
        <w:tc>
          <w:tcPr>
            <w:tcW w:type="dxa" w:w="4600"/>
            <w:tcMar>
              <w:top w:type="dxa" w:w="80"/>
              <w:left w:type="dxa" w:w="100"/>
              <w:bottom w:type="dxa" w:w="80"/>
              <w:right w:type="dxa" w:w="100"/>
            </w:tcMar>
            <w:vAlign w:val="top"/>
          </w:tcPr>
          <w:p>
            <w:pPr>
              <w:spacing w:after="40"/>
            </w:pPr>
            <w:r>
              <w:rPr>
                <w:sz w:val="18"/>
                <w:szCs w:val="18"/>
              </w:rPr>
              <w:t xml:space="preserve">Not found in Doc 1's authorities list; citation could not be cross-checked here — verify before filing.</w:t>
            </w:r>
          </w:p>
        </w:tc>
      </w:tr>
      <w:tr>
        <w:tc>
          <w:tcPr>
            <w:tcW w:type="dxa" w:w="3200"/>
            <w:tcMar>
              <w:top w:type="dxa" w:w="80"/>
              <w:left w:type="dxa" w:w="100"/>
              <w:bottom w:type="dxa" w:w="80"/>
              <w:right w:type="dxa" w:w="100"/>
            </w:tcMar>
            <w:vAlign w:val="top"/>
          </w:tcPr>
          <w:p>
            <w:pPr>
              <w:spacing w:after="40"/>
            </w:pPr>
            <w:r>
              <w:rPr>
                <w:b/>
                <w:bCs/>
                <w:sz w:val="18"/>
                <w:szCs w:val="18"/>
              </w:rPr>
              <w:t xml:space="preserve">Tamil Nadu Housing Board v. CCE</w:t>
            </w:r>
          </w:p>
        </w:tc>
        <w:tc>
          <w:tcPr>
            <w:tcW w:type="dxa" w:w="2600"/>
            <w:tcMar>
              <w:top w:type="dxa" w:w="80"/>
              <w:left w:type="dxa" w:w="100"/>
              <w:bottom w:type="dxa" w:w="80"/>
              <w:right w:type="dxa" w:w="100"/>
            </w:tcMar>
            <w:vAlign w:val="top"/>
          </w:tcPr>
          <w:p>
            <w:pPr>
              <w:spacing w:after="40"/>
            </w:pPr>
            <w:r>
              <w:rPr>
                <w:sz w:val="18"/>
                <w:szCs w:val="18"/>
              </w:rPr>
              <w:t xml:space="preserve">1994 Supp (2) SCC 489</w:t>
            </w:r>
          </w:p>
        </w:tc>
        <w:tc>
          <w:tcPr>
            <w:tcW w:type="dxa" w:w="1400"/>
            <w:tcMar>
              <w:top w:type="dxa" w:w="80"/>
              <w:left w:type="dxa" w:w="100"/>
              <w:bottom w:type="dxa" w:w="80"/>
              <w:right w:type="dxa" w:w="100"/>
            </w:tcMar>
            <w:vAlign w:val="top"/>
          </w:tcPr>
          <w:p>
            <w:pPr>
              <w:spacing w:after="40"/>
            </w:pPr>
            <w:r>
              <w:rPr>
                <w:b/>
                <w:bCs/>
                <w:color w:val="808080"/>
                <w:sz w:val="18"/>
                <w:szCs w:val="18"/>
              </w:rPr>
              <w:t xml:space="preserve">No</w:t>
            </w:r>
          </w:p>
        </w:tc>
        <w:tc>
          <w:tcPr>
            <w:tcW w:type="dxa" w:w="1400"/>
            <w:tcMar>
              <w:top w:type="dxa" w:w="80"/>
              <w:left w:type="dxa" w:w="100"/>
              <w:bottom w:type="dxa" w:w="80"/>
              <w:right w:type="dxa" w:w="100"/>
            </w:tcMar>
            <w:vAlign w:val="top"/>
          </w:tcPr>
          <w:p>
            <w:pPr>
              <w:spacing w:after="40"/>
            </w:pPr>
            <w:r>
              <w:rPr>
                <w:b/>
                <w:bCs/>
                <w:color w:val="1E7B34"/>
                <w:sz w:val="18"/>
                <w:szCs w:val="18"/>
              </w:rPr>
              <w:t xml:space="preserve">Yes</w:t>
            </w:r>
          </w:p>
        </w:tc>
        <w:tc>
          <w:tcPr>
            <w:tcW w:type="dxa" w:w="4600"/>
            <w:tcMar>
              <w:top w:type="dxa" w:w="80"/>
              <w:left w:type="dxa" w:w="100"/>
              <w:bottom w:type="dxa" w:w="80"/>
              <w:right w:type="dxa" w:w="100"/>
            </w:tcMar>
            <w:vAlign w:val="top"/>
          </w:tcPr>
          <w:p>
            <w:pPr>
              <w:spacing w:after="40"/>
            </w:pPr>
            <w:r>
              <w:rPr>
                <w:sz w:val="18"/>
                <w:szCs w:val="18"/>
              </w:rPr>
              <w:t xml:space="preserve">Same — verify before filing.</w:t>
            </w:r>
          </w:p>
        </w:tc>
      </w:tr>
      <w:tr>
        <w:tc>
          <w:tcPr>
            <w:tcW w:type="dxa" w:w="3200"/>
            <w:tcMar>
              <w:top w:type="dxa" w:w="80"/>
              <w:left w:type="dxa" w:w="100"/>
              <w:bottom w:type="dxa" w:w="80"/>
              <w:right w:type="dxa" w:w="100"/>
            </w:tcMar>
            <w:vAlign w:val="top"/>
          </w:tcPr>
          <w:p>
            <w:pPr>
              <w:spacing w:after="40"/>
            </w:pPr>
            <w:r>
              <w:rPr>
                <w:b/>
                <w:bCs/>
                <w:sz w:val="18"/>
                <w:szCs w:val="18"/>
              </w:rPr>
              <w:t xml:space="preserve">Pradeep Goyal v. Union of India</w:t>
            </w:r>
          </w:p>
        </w:tc>
        <w:tc>
          <w:tcPr>
            <w:tcW w:type="dxa" w:w="2600"/>
            <w:tcMar>
              <w:top w:type="dxa" w:w="80"/>
              <w:left w:type="dxa" w:w="100"/>
              <w:bottom w:type="dxa" w:w="80"/>
              <w:right w:type="dxa" w:w="100"/>
            </w:tcMar>
            <w:vAlign w:val="top"/>
          </w:tcPr>
          <w:p>
            <w:pPr>
              <w:spacing w:after="40"/>
            </w:pPr>
            <w:r>
              <w:rPr>
                <w:sz w:val="18"/>
                <w:szCs w:val="18"/>
              </w:rPr>
              <w:t xml:space="preserve">W.P.(C) No. 320/2022 (SC)</w:t>
            </w:r>
          </w:p>
        </w:tc>
        <w:tc>
          <w:tcPr>
            <w:tcW w:type="dxa" w:w="1400"/>
            <w:tcMar>
              <w:top w:type="dxa" w:w="80"/>
              <w:left w:type="dxa" w:w="100"/>
              <w:bottom w:type="dxa" w:w="80"/>
              <w:right w:type="dxa" w:w="100"/>
            </w:tcMar>
            <w:vAlign w:val="top"/>
          </w:tcPr>
          <w:p>
            <w:pPr>
              <w:spacing w:after="40"/>
            </w:pPr>
            <w:r>
              <w:rPr>
                <w:b/>
                <w:bCs/>
                <w:color w:val="1E7B34"/>
                <w:sz w:val="18"/>
                <w:szCs w:val="18"/>
              </w:rPr>
              <w:t xml:space="preserve">Yes</w:t>
            </w:r>
          </w:p>
        </w:tc>
        <w:tc>
          <w:tcPr>
            <w:tcW w:type="dxa" w:w="1400"/>
            <w:tcMar>
              <w:top w:type="dxa" w:w="80"/>
              <w:left w:type="dxa" w:w="100"/>
              <w:bottom w:type="dxa" w:w="80"/>
              <w:right w:type="dxa" w:w="100"/>
            </w:tcMar>
            <w:vAlign w:val="top"/>
          </w:tcPr>
          <w:p>
            <w:pPr>
              <w:spacing w:after="40"/>
            </w:pPr>
            <w:r>
              <w:rPr>
                <w:b/>
                <w:bCs/>
                <w:color w:val="808080"/>
                <w:sz w:val="18"/>
                <w:szCs w:val="18"/>
              </w:rPr>
              <w:t xml:space="preserve">No</w:t>
            </w:r>
          </w:p>
        </w:tc>
        <w:tc>
          <w:tcPr>
            <w:tcW w:type="dxa" w:w="4600"/>
            <w:tcMar>
              <w:top w:type="dxa" w:w="80"/>
              <w:left w:type="dxa" w:w="100"/>
              <w:bottom w:type="dxa" w:w="80"/>
              <w:right w:type="dxa" w:w="100"/>
            </w:tcMar>
            <w:vAlign w:val="top"/>
          </w:tcPr>
          <w:p>
            <w:pPr>
              <w:spacing w:after="40"/>
            </w:pPr>
            <w:r>
              <w:rPr>
                <w:sz w:val="18"/>
                <w:szCs w:val="18"/>
              </w:rPr>
              <w:t xml:space="preserve">Doc 1's DIN-defect ground; not used in Doc 2.</w:t>
            </w:r>
          </w:p>
        </w:tc>
      </w:tr>
      <w:tr>
        <w:tc>
          <w:tcPr>
            <w:tcW w:type="dxa" w:w="3200"/>
            <w:tcMar>
              <w:top w:type="dxa" w:w="80"/>
              <w:left w:type="dxa" w:w="100"/>
              <w:bottom w:type="dxa" w:w="80"/>
              <w:right w:type="dxa" w:w="100"/>
            </w:tcMar>
            <w:vAlign w:val="top"/>
          </w:tcPr>
          <w:p>
            <w:pPr>
              <w:spacing w:after="40"/>
            </w:pPr>
            <w:r>
              <w:rPr>
                <w:b/>
                <w:bCs/>
                <w:sz w:val="18"/>
                <w:szCs w:val="18"/>
              </w:rPr>
              <w:t xml:space="preserve">Andaman Timber Industries v. CCE</w:t>
            </w:r>
          </w:p>
        </w:tc>
        <w:tc>
          <w:tcPr>
            <w:tcW w:type="dxa" w:w="2600"/>
            <w:tcMar>
              <w:top w:type="dxa" w:w="80"/>
              <w:left w:type="dxa" w:w="100"/>
              <w:bottom w:type="dxa" w:w="80"/>
              <w:right w:type="dxa" w:w="100"/>
            </w:tcMar>
            <w:vAlign w:val="top"/>
          </w:tcPr>
          <w:p>
            <w:pPr>
              <w:spacing w:after="40"/>
            </w:pPr>
            <w:r>
              <w:rPr>
                <w:sz w:val="18"/>
                <w:szCs w:val="18"/>
              </w:rPr>
              <w:t xml:space="preserve">2015 (324) E.L.T. 641</w:t>
            </w:r>
          </w:p>
        </w:tc>
        <w:tc>
          <w:tcPr>
            <w:tcW w:type="dxa" w:w="1400"/>
            <w:tcMar>
              <w:top w:type="dxa" w:w="80"/>
              <w:left w:type="dxa" w:w="100"/>
              <w:bottom w:type="dxa" w:w="80"/>
              <w:right w:type="dxa" w:w="100"/>
            </w:tcMar>
            <w:vAlign w:val="top"/>
          </w:tcPr>
          <w:p>
            <w:pPr>
              <w:spacing w:after="40"/>
            </w:pPr>
            <w:r>
              <w:rPr>
                <w:b/>
                <w:bCs/>
                <w:color w:val="1E7B34"/>
                <w:sz w:val="18"/>
                <w:szCs w:val="18"/>
              </w:rPr>
              <w:t xml:space="preserve">Yes</w:t>
            </w:r>
          </w:p>
        </w:tc>
        <w:tc>
          <w:tcPr>
            <w:tcW w:type="dxa" w:w="1400"/>
            <w:tcMar>
              <w:top w:type="dxa" w:w="80"/>
              <w:left w:type="dxa" w:w="100"/>
              <w:bottom w:type="dxa" w:w="80"/>
              <w:right w:type="dxa" w:w="100"/>
            </w:tcMar>
            <w:vAlign w:val="top"/>
          </w:tcPr>
          <w:p>
            <w:pPr>
              <w:spacing w:after="40"/>
            </w:pPr>
            <w:r>
              <w:rPr>
                <w:b/>
                <w:bCs/>
                <w:color w:val="808080"/>
                <w:sz w:val="18"/>
                <w:szCs w:val="18"/>
              </w:rPr>
              <w:t xml:space="preserve">No</w:t>
            </w:r>
          </w:p>
        </w:tc>
        <w:tc>
          <w:tcPr>
            <w:tcW w:type="dxa" w:w="4600"/>
            <w:tcMar>
              <w:top w:type="dxa" w:w="80"/>
              <w:left w:type="dxa" w:w="100"/>
              <w:bottom w:type="dxa" w:w="80"/>
              <w:right w:type="dxa" w:w="100"/>
            </w:tcMar>
            <w:vAlign w:val="top"/>
          </w:tcPr>
          <w:p>
            <w:pPr>
              <w:spacing w:after="40"/>
            </w:pPr>
            <w:r>
              <w:rPr>
                <w:sz w:val="18"/>
                <w:szCs w:val="18"/>
              </w:rPr>
              <w:t xml:space="preserve">Doc 1's cross-examination ground.</w:t>
            </w:r>
          </w:p>
        </w:tc>
      </w:tr>
      <w:tr>
        <w:tc>
          <w:tcPr>
            <w:tcW w:type="dxa" w:w="3200"/>
            <w:tcMar>
              <w:top w:type="dxa" w:w="80"/>
              <w:left w:type="dxa" w:w="100"/>
              <w:bottom w:type="dxa" w:w="80"/>
              <w:right w:type="dxa" w:w="100"/>
            </w:tcMar>
            <w:vAlign w:val="top"/>
          </w:tcPr>
          <w:p>
            <w:pPr>
              <w:spacing w:after="40"/>
            </w:pPr>
            <w:r>
              <w:rPr>
                <w:b/>
                <w:bCs/>
                <w:sz w:val="18"/>
                <w:szCs w:val="18"/>
              </w:rPr>
              <w:t xml:space="preserve">K.I. Pavunny / Vinod Solanki</w:t>
            </w:r>
          </w:p>
        </w:tc>
        <w:tc>
          <w:tcPr>
            <w:tcW w:type="dxa" w:w="2600"/>
            <w:tcMar>
              <w:top w:type="dxa" w:w="80"/>
              <w:left w:type="dxa" w:w="100"/>
              <w:bottom w:type="dxa" w:w="80"/>
              <w:right w:type="dxa" w:w="100"/>
            </w:tcMar>
            <w:vAlign w:val="top"/>
          </w:tcPr>
          <w:p>
            <w:pPr>
              <w:spacing w:after="40"/>
            </w:pPr>
            <w:r>
              <w:rPr>
                <w:sz w:val="18"/>
                <w:szCs w:val="18"/>
              </w:rPr>
              <w:t xml:space="preserve">1997 E.L.T. 241 / (2008) 16 SCC 537</w:t>
            </w:r>
          </w:p>
        </w:tc>
        <w:tc>
          <w:tcPr>
            <w:tcW w:type="dxa" w:w="1400"/>
            <w:tcMar>
              <w:top w:type="dxa" w:w="80"/>
              <w:left w:type="dxa" w:w="100"/>
              <w:bottom w:type="dxa" w:w="80"/>
              <w:right w:type="dxa" w:w="100"/>
            </w:tcMar>
            <w:vAlign w:val="top"/>
          </w:tcPr>
          <w:p>
            <w:pPr>
              <w:spacing w:after="40"/>
            </w:pPr>
            <w:r>
              <w:rPr>
                <w:b/>
                <w:bCs/>
                <w:color w:val="1E7B34"/>
                <w:sz w:val="18"/>
                <w:szCs w:val="18"/>
              </w:rPr>
              <w:t xml:space="preserve">Yes</w:t>
            </w:r>
          </w:p>
        </w:tc>
        <w:tc>
          <w:tcPr>
            <w:tcW w:type="dxa" w:w="1400"/>
            <w:tcMar>
              <w:top w:type="dxa" w:w="80"/>
              <w:left w:type="dxa" w:w="100"/>
              <w:bottom w:type="dxa" w:w="80"/>
              <w:right w:type="dxa" w:w="100"/>
            </w:tcMar>
            <w:vAlign w:val="top"/>
          </w:tcPr>
          <w:p>
            <w:pPr>
              <w:spacing w:after="40"/>
            </w:pPr>
            <w:r>
              <w:rPr>
                <w:b/>
                <w:bCs/>
                <w:color w:val="808080"/>
                <w:sz w:val="18"/>
                <w:szCs w:val="18"/>
              </w:rPr>
              <w:t xml:space="preserve">No</w:t>
            </w:r>
          </w:p>
        </w:tc>
        <w:tc>
          <w:tcPr>
            <w:tcW w:type="dxa" w:w="4600"/>
            <w:tcMar>
              <w:top w:type="dxa" w:w="80"/>
              <w:left w:type="dxa" w:w="100"/>
              <w:bottom w:type="dxa" w:w="80"/>
              <w:right w:type="dxa" w:w="100"/>
            </w:tcMar>
            <w:vAlign w:val="top"/>
          </w:tcPr>
          <w:p>
            <w:pPr>
              <w:spacing w:after="40"/>
            </w:pPr>
            <w:r>
              <w:rPr>
                <w:sz w:val="18"/>
                <w:szCs w:val="18"/>
              </w:rPr>
              <w:t xml:space="preserve">Doc 1's retracted-statement / cross-examination line of authority.</w:t>
            </w:r>
          </w:p>
        </w:tc>
      </w:tr>
      <w:tr>
        <w:tc>
          <w:tcPr>
            <w:tcW w:type="dxa" w:w="3200"/>
            <w:tcMar>
              <w:top w:type="dxa" w:w="80"/>
              <w:left w:type="dxa" w:w="100"/>
              <w:bottom w:type="dxa" w:w="80"/>
              <w:right w:type="dxa" w:w="100"/>
            </w:tcMar>
            <w:vAlign w:val="top"/>
          </w:tcPr>
          <w:p>
            <w:pPr>
              <w:spacing w:after="40"/>
            </w:pPr>
            <w:r>
              <w:rPr>
                <w:b/>
                <w:bCs/>
                <w:sz w:val="18"/>
                <w:szCs w:val="18"/>
              </w:rPr>
              <w:t xml:space="preserve">Uniworth Textiles, Pushpam Pharma, Anand Nishikawa, Continental Foundation</w:t>
            </w:r>
          </w:p>
        </w:tc>
        <w:tc>
          <w:tcPr>
            <w:tcW w:type="dxa" w:w="2600"/>
            <w:tcMar>
              <w:top w:type="dxa" w:w="80"/>
              <w:left w:type="dxa" w:w="100"/>
              <w:bottom w:type="dxa" w:w="80"/>
              <w:right w:type="dxa" w:w="100"/>
            </w:tcMar>
            <w:vAlign w:val="top"/>
          </w:tcPr>
          <w:p>
            <w:pPr>
              <w:spacing w:after="40"/>
            </w:pPr>
            <w:r>
              <w:rPr>
                <w:sz w:val="18"/>
                <w:szCs w:val="18"/>
              </w:rPr>
              <w:t xml:space="preserve">Various SC</w:t>
            </w:r>
          </w:p>
        </w:tc>
        <w:tc>
          <w:tcPr>
            <w:tcW w:type="dxa" w:w="1400"/>
            <w:tcMar>
              <w:top w:type="dxa" w:w="80"/>
              <w:left w:type="dxa" w:w="100"/>
              <w:bottom w:type="dxa" w:w="80"/>
              <w:right w:type="dxa" w:w="100"/>
            </w:tcMar>
            <w:vAlign w:val="top"/>
          </w:tcPr>
          <w:p>
            <w:pPr>
              <w:spacing w:after="40"/>
            </w:pPr>
            <w:r>
              <w:rPr>
                <w:b/>
                <w:bCs/>
                <w:color w:val="1E7B34"/>
                <w:sz w:val="18"/>
                <w:szCs w:val="18"/>
              </w:rPr>
              <w:t xml:space="preserve">Yes</w:t>
            </w:r>
          </w:p>
        </w:tc>
        <w:tc>
          <w:tcPr>
            <w:tcW w:type="dxa" w:w="1400"/>
            <w:tcMar>
              <w:top w:type="dxa" w:w="80"/>
              <w:left w:type="dxa" w:w="100"/>
              <w:bottom w:type="dxa" w:w="80"/>
              <w:right w:type="dxa" w:w="100"/>
            </w:tcMar>
            <w:vAlign w:val="top"/>
          </w:tcPr>
          <w:p>
            <w:pPr>
              <w:spacing w:after="40"/>
            </w:pPr>
            <w:r>
              <w:rPr>
                <w:b/>
                <w:bCs/>
                <w:color w:val="808080"/>
                <w:sz w:val="18"/>
                <w:szCs w:val="18"/>
              </w:rPr>
              <w:t xml:space="preserve">No</w:t>
            </w:r>
          </w:p>
        </w:tc>
        <w:tc>
          <w:tcPr>
            <w:tcW w:type="dxa" w:w="4600"/>
            <w:tcMar>
              <w:top w:type="dxa" w:w="80"/>
              <w:left w:type="dxa" w:w="100"/>
              <w:bottom w:type="dxa" w:w="80"/>
              <w:right w:type="dxa" w:w="100"/>
            </w:tcMar>
            <w:vAlign w:val="top"/>
          </w:tcPr>
          <w:p>
            <w:pPr>
              <w:spacing w:after="40"/>
            </w:pPr>
            <w:r>
              <w:rPr>
                <w:sz w:val="18"/>
                <w:szCs w:val="18"/>
              </w:rPr>
              <w:t xml:space="preserve">Doc 1's suppression / extended-period line of authority; marked 'Verified' in its table.</w:t>
            </w:r>
          </w:p>
        </w:tc>
      </w:tr>
      <w:tr>
        <w:tc>
          <w:tcPr>
            <w:tcW w:type="dxa" w:w="3200"/>
            <w:tcMar>
              <w:top w:type="dxa" w:w="80"/>
              <w:left w:type="dxa" w:w="100"/>
              <w:bottom w:type="dxa" w:w="80"/>
              <w:right w:type="dxa" w:w="100"/>
            </w:tcMar>
            <w:vAlign w:val="top"/>
          </w:tcPr>
          <w:p>
            <w:pPr>
              <w:spacing w:after="40"/>
            </w:pPr>
            <w:r>
              <w:rPr>
                <w:b/>
                <w:bCs/>
                <w:sz w:val="18"/>
                <w:szCs w:val="18"/>
              </w:rPr>
              <w:t xml:space="preserve">HCL Infotech Ltd. v. Commissioner, Commercial Tax</w:t>
            </w:r>
          </w:p>
        </w:tc>
        <w:tc>
          <w:tcPr>
            <w:tcW w:type="dxa" w:w="2600"/>
            <w:tcMar>
              <w:top w:type="dxa" w:w="80"/>
              <w:left w:type="dxa" w:w="100"/>
              <w:bottom w:type="dxa" w:w="80"/>
              <w:right w:type="dxa" w:w="100"/>
            </w:tcMar>
            <w:vAlign w:val="top"/>
          </w:tcPr>
          <w:p>
            <w:pPr>
              <w:spacing w:after="40"/>
            </w:pPr>
            <w:r>
              <w:rPr>
                <w:sz w:val="18"/>
                <w:szCs w:val="18"/>
              </w:rPr>
              <w:t xml:space="preserve">Writ Tax No. 1396/2024 (All HC)</w:t>
            </w:r>
          </w:p>
        </w:tc>
        <w:tc>
          <w:tcPr>
            <w:tcW w:type="dxa" w:w="1400"/>
            <w:tcMar>
              <w:top w:type="dxa" w:w="80"/>
              <w:left w:type="dxa" w:w="100"/>
              <w:bottom w:type="dxa" w:w="80"/>
              <w:right w:type="dxa" w:w="100"/>
            </w:tcMar>
            <w:vAlign w:val="top"/>
          </w:tcPr>
          <w:p>
            <w:pPr>
              <w:spacing w:after="40"/>
            </w:pPr>
            <w:r>
              <w:rPr>
                <w:b/>
                <w:bCs/>
                <w:color w:val="1E7B34"/>
                <w:sz w:val="18"/>
                <w:szCs w:val="18"/>
              </w:rPr>
              <w:t xml:space="preserve">Yes</w:t>
            </w:r>
          </w:p>
        </w:tc>
        <w:tc>
          <w:tcPr>
            <w:tcW w:type="dxa" w:w="1400"/>
            <w:tcMar>
              <w:top w:type="dxa" w:w="80"/>
              <w:left w:type="dxa" w:w="100"/>
              <w:bottom w:type="dxa" w:w="80"/>
              <w:right w:type="dxa" w:w="100"/>
            </w:tcMar>
            <w:vAlign w:val="top"/>
          </w:tcPr>
          <w:p>
            <w:pPr>
              <w:spacing w:after="40"/>
            </w:pPr>
            <w:r>
              <w:rPr>
                <w:b/>
                <w:bCs/>
                <w:color w:val="808080"/>
                <w:sz w:val="18"/>
                <w:szCs w:val="18"/>
              </w:rPr>
              <w:t xml:space="preserve">No</w:t>
            </w:r>
          </w:p>
        </w:tc>
        <w:tc>
          <w:tcPr>
            <w:tcW w:type="dxa" w:w="4600"/>
            <w:tcMar>
              <w:top w:type="dxa" w:w="80"/>
              <w:left w:type="dxa" w:w="100"/>
              <w:bottom w:type="dxa" w:w="80"/>
              <w:right w:type="dxa" w:w="100"/>
            </w:tcMar>
            <w:vAlign w:val="top"/>
          </w:tcPr>
          <w:p>
            <w:pPr>
              <w:spacing w:after="40"/>
            </w:pPr>
            <w:r>
              <w:rPr>
                <w:sz w:val="18"/>
                <w:szCs w:val="18"/>
              </w:rPr>
              <w:t xml:space="preserve">Doc 1's jurisdictional ground on specificity of fraud/suppression allegation.</w:t>
            </w:r>
          </w:p>
        </w:tc>
      </w:tr>
      <w:tr>
        <w:tc>
          <w:tcPr>
            <w:tcW w:type="dxa" w:w="3200"/>
            <w:tcMar>
              <w:top w:type="dxa" w:w="80"/>
              <w:left w:type="dxa" w:w="100"/>
              <w:bottom w:type="dxa" w:w="80"/>
              <w:right w:type="dxa" w:w="100"/>
            </w:tcMar>
            <w:vAlign w:val="top"/>
          </w:tcPr>
          <w:p>
            <w:pPr>
              <w:spacing w:after="40"/>
            </w:pPr>
            <w:r>
              <w:rPr>
                <w:b/>
                <w:bCs/>
                <w:sz w:val="18"/>
                <w:szCs w:val="18"/>
              </w:rPr>
              <w:t xml:space="preserve">State of Karnataka v. Ecom Gill Coffee Trading</w:t>
            </w:r>
          </w:p>
        </w:tc>
        <w:tc>
          <w:tcPr>
            <w:tcW w:type="dxa" w:w="2600"/>
            <w:tcMar>
              <w:top w:type="dxa" w:w="80"/>
              <w:left w:type="dxa" w:w="100"/>
              <w:bottom w:type="dxa" w:w="80"/>
              <w:right w:type="dxa" w:w="100"/>
            </w:tcMar>
            <w:vAlign w:val="top"/>
          </w:tcPr>
          <w:p>
            <w:pPr>
              <w:spacing w:after="40"/>
            </w:pPr>
            <w:r>
              <w:rPr>
                <w:sz w:val="18"/>
                <w:szCs w:val="18"/>
              </w:rPr>
              <w:t xml:space="preserve">2023 SCC OnLine SC 248</w:t>
            </w:r>
          </w:p>
        </w:tc>
        <w:tc>
          <w:tcPr>
            <w:tcW w:type="dxa" w:w="1400"/>
            <w:tcMar>
              <w:top w:type="dxa" w:w="80"/>
              <w:left w:type="dxa" w:w="100"/>
              <w:bottom w:type="dxa" w:w="80"/>
              <w:right w:type="dxa" w:w="100"/>
            </w:tcMar>
            <w:vAlign w:val="top"/>
          </w:tcPr>
          <w:p>
            <w:pPr>
              <w:spacing w:after="40"/>
            </w:pPr>
            <w:r>
              <w:rPr>
                <w:b/>
                <w:bCs/>
                <w:color w:val="1E7B34"/>
                <w:sz w:val="18"/>
                <w:szCs w:val="18"/>
              </w:rPr>
              <w:t xml:space="preserve">Yes</w:t>
            </w:r>
          </w:p>
        </w:tc>
        <w:tc>
          <w:tcPr>
            <w:tcW w:type="dxa" w:w="1400"/>
            <w:tcMar>
              <w:top w:type="dxa" w:w="80"/>
              <w:left w:type="dxa" w:w="100"/>
              <w:bottom w:type="dxa" w:w="80"/>
              <w:right w:type="dxa" w:w="100"/>
            </w:tcMar>
            <w:vAlign w:val="top"/>
          </w:tcPr>
          <w:p>
            <w:pPr>
              <w:spacing w:after="40"/>
            </w:pPr>
            <w:r>
              <w:rPr>
                <w:b/>
                <w:bCs/>
                <w:color w:val="808080"/>
                <w:sz w:val="18"/>
                <w:szCs w:val="18"/>
              </w:rPr>
              <w:t xml:space="preserve">No</w:t>
            </w:r>
          </w:p>
        </w:tc>
        <w:tc>
          <w:tcPr>
            <w:tcW w:type="dxa" w:w="4600"/>
            <w:tcMar>
              <w:top w:type="dxa" w:w="80"/>
              <w:left w:type="dxa" w:w="100"/>
              <w:bottom w:type="dxa" w:w="80"/>
              <w:right w:type="dxa" w:w="100"/>
            </w:tcMar>
            <w:vAlign w:val="top"/>
          </w:tcPr>
          <w:p>
            <w:pPr>
              <w:spacing w:after="40"/>
            </w:pPr>
            <w:r>
              <w:rPr>
                <w:sz w:val="18"/>
                <w:szCs w:val="18"/>
              </w:rPr>
              <w:t xml:space="preserve">Adverse authority Doc 1 pre-empts and distinguishes; not addressed in Doc 2.</w:t>
            </w:r>
          </w:p>
        </w:tc>
      </w:tr>
      <w:tr>
        <w:tc>
          <w:tcPr>
            <w:tcW w:type="dxa" w:w="3200"/>
            <w:tcMar>
              <w:top w:type="dxa" w:w="80"/>
              <w:left w:type="dxa" w:w="100"/>
              <w:bottom w:type="dxa" w:w="80"/>
              <w:right w:type="dxa" w:w="100"/>
            </w:tcMar>
            <w:vAlign w:val="top"/>
          </w:tcPr>
          <w:p>
            <w:pPr>
              <w:spacing w:after="40"/>
            </w:pPr>
            <w:r>
              <w:rPr>
                <w:b/>
                <w:bCs/>
                <w:sz w:val="18"/>
                <w:szCs w:val="18"/>
              </w:rPr>
              <w:t xml:space="preserve">G-Tech Industries; Jindal Drugs (S.136/9D procedure)</w:t>
            </w:r>
          </w:p>
        </w:tc>
        <w:tc>
          <w:tcPr>
            <w:tcW w:type="dxa" w:w="2600"/>
            <w:tcMar>
              <w:top w:type="dxa" w:w="80"/>
              <w:left w:type="dxa" w:w="100"/>
              <w:bottom w:type="dxa" w:w="80"/>
              <w:right w:type="dxa" w:w="100"/>
            </w:tcMar>
            <w:vAlign w:val="top"/>
          </w:tcPr>
          <w:p>
            <w:pPr>
              <w:spacing w:after="40"/>
            </w:pPr>
            <w:r>
              <w:rPr>
                <w:sz w:val="18"/>
                <w:szCs w:val="18"/>
              </w:rPr>
              <w:t xml:space="preserve">P&amp;H HC</w:t>
            </w:r>
          </w:p>
        </w:tc>
        <w:tc>
          <w:tcPr>
            <w:tcW w:type="dxa" w:w="1400"/>
            <w:tcMar>
              <w:top w:type="dxa" w:w="80"/>
              <w:left w:type="dxa" w:w="100"/>
              <w:bottom w:type="dxa" w:w="80"/>
              <w:right w:type="dxa" w:w="100"/>
            </w:tcMar>
            <w:vAlign w:val="top"/>
          </w:tcPr>
          <w:p>
            <w:pPr>
              <w:spacing w:after="40"/>
            </w:pPr>
            <w:r>
              <w:rPr>
                <w:b/>
                <w:bCs/>
                <w:color w:val="1E7B34"/>
                <w:sz w:val="18"/>
                <w:szCs w:val="18"/>
              </w:rPr>
              <w:t xml:space="preserve">Yes</w:t>
            </w:r>
          </w:p>
        </w:tc>
        <w:tc>
          <w:tcPr>
            <w:tcW w:type="dxa" w:w="1400"/>
            <w:tcMar>
              <w:top w:type="dxa" w:w="80"/>
              <w:left w:type="dxa" w:w="100"/>
              <w:bottom w:type="dxa" w:w="80"/>
              <w:right w:type="dxa" w:w="100"/>
            </w:tcMar>
            <w:vAlign w:val="top"/>
          </w:tcPr>
          <w:p>
            <w:pPr>
              <w:spacing w:after="40"/>
            </w:pPr>
            <w:r>
              <w:rPr>
                <w:b/>
                <w:bCs/>
                <w:color w:val="808080"/>
                <w:sz w:val="18"/>
                <w:szCs w:val="18"/>
              </w:rPr>
              <w:t xml:space="preserve">No</w:t>
            </w:r>
          </w:p>
        </w:tc>
        <w:tc>
          <w:tcPr>
            <w:tcW w:type="dxa" w:w="4600"/>
            <w:tcMar>
              <w:top w:type="dxa" w:w="80"/>
              <w:left w:type="dxa" w:w="100"/>
              <w:bottom w:type="dxa" w:w="80"/>
              <w:right w:type="dxa" w:w="100"/>
            </w:tcMar>
            <w:vAlign w:val="top"/>
          </w:tcPr>
          <w:p>
            <w:pPr>
              <w:spacing w:after="40"/>
            </w:pPr>
            <w:r>
              <w:rPr>
                <w:sz w:val="18"/>
                <w:szCs w:val="18"/>
              </w:rPr>
              <w:t xml:space="preserve">Doc 1's statutory-procedure ground for treating statements as relevant evidence.</w:t>
            </w:r>
          </w:p>
        </w:tc>
      </w:tr>
      <w:tr>
        <w:tc>
          <w:tcPr>
            <w:tcW w:type="dxa" w:w="3200"/>
            <w:tcMar>
              <w:top w:type="dxa" w:w="80"/>
              <w:left w:type="dxa" w:w="100"/>
              <w:bottom w:type="dxa" w:w="80"/>
              <w:right w:type="dxa" w:w="100"/>
            </w:tcMar>
            <w:vAlign w:val="top"/>
          </w:tcPr>
          <w:p>
            <w:pPr>
              <w:spacing w:after="40"/>
            </w:pPr>
            <w:r>
              <w:rPr>
                <w:b/>
                <w:bCs/>
                <w:sz w:val="18"/>
                <w:szCs w:val="18"/>
              </w:rPr>
              <w:t xml:space="preserve">CCE v. Motabhai Iron &amp; Steel; CCE v. Juhi Alloys; Arise India</w:t>
            </w:r>
          </w:p>
        </w:tc>
        <w:tc>
          <w:tcPr>
            <w:tcW w:type="dxa" w:w="2600"/>
            <w:tcMar>
              <w:top w:type="dxa" w:w="80"/>
              <w:left w:type="dxa" w:w="100"/>
              <w:bottom w:type="dxa" w:w="80"/>
              <w:right w:type="dxa" w:w="100"/>
            </w:tcMar>
            <w:vAlign w:val="top"/>
          </w:tcPr>
          <w:p>
            <w:pPr>
              <w:spacing w:after="40"/>
            </w:pPr>
            <w:r>
              <w:rPr>
                <w:sz w:val="18"/>
                <w:szCs w:val="18"/>
              </w:rPr>
              <w:t xml:space="preserve">Guj HC / All HC / Del HC</w:t>
            </w:r>
          </w:p>
        </w:tc>
        <w:tc>
          <w:tcPr>
            <w:tcW w:type="dxa" w:w="1400"/>
            <w:tcMar>
              <w:top w:type="dxa" w:w="80"/>
              <w:left w:type="dxa" w:w="100"/>
              <w:bottom w:type="dxa" w:w="80"/>
              <w:right w:type="dxa" w:w="100"/>
            </w:tcMar>
            <w:vAlign w:val="top"/>
          </w:tcPr>
          <w:p>
            <w:pPr>
              <w:spacing w:after="40"/>
            </w:pPr>
            <w:r>
              <w:rPr>
                <w:b/>
                <w:bCs/>
                <w:color w:val="1E7B34"/>
                <w:sz w:val="18"/>
                <w:szCs w:val="18"/>
              </w:rPr>
              <w:t xml:space="preserve">Yes</w:t>
            </w:r>
          </w:p>
        </w:tc>
        <w:tc>
          <w:tcPr>
            <w:tcW w:type="dxa" w:w="1400"/>
            <w:tcMar>
              <w:top w:type="dxa" w:w="80"/>
              <w:left w:type="dxa" w:w="100"/>
              <w:bottom w:type="dxa" w:w="80"/>
              <w:right w:type="dxa" w:w="100"/>
            </w:tcMar>
            <w:vAlign w:val="top"/>
          </w:tcPr>
          <w:p>
            <w:pPr>
              <w:spacing w:after="40"/>
            </w:pPr>
            <w:r>
              <w:rPr>
                <w:b/>
                <w:bCs/>
                <w:color w:val="808080"/>
                <w:sz w:val="18"/>
                <w:szCs w:val="18"/>
              </w:rPr>
              <w:t xml:space="preserve">No</w:t>
            </w:r>
          </w:p>
        </w:tc>
        <w:tc>
          <w:tcPr>
            <w:tcW w:type="dxa" w:w="4600"/>
            <w:tcMar>
              <w:top w:type="dxa" w:w="80"/>
              <w:left w:type="dxa" w:w="100"/>
              <w:bottom w:type="dxa" w:w="80"/>
              <w:right w:type="dxa" w:w="100"/>
            </w:tcMar>
            <w:vAlign w:val="top"/>
          </w:tcPr>
          <w:p>
            <w:pPr>
              <w:spacing w:after="40"/>
            </w:pPr>
            <w:r>
              <w:rPr>
                <w:sz w:val="18"/>
                <w:szCs w:val="18"/>
              </w:rPr>
              <w:t xml:space="preserve">Doc 1's line on vehicle-record reliability and bona fide purchaser protection.</w:t>
            </w:r>
          </w:p>
        </w:tc>
      </w:tr>
    </w:tbl>
    <w:p>
      <w:pPr>
        <w:spacing w:after="160"/>
      </w:pPr>
    </w:p>
    <w:p>
      <w:pPr>
        <w:pStyle w:val="Heading1"/>
        <w:spacing w:after="120" w:before="260"/>
      </w:pPr>
      <w:r>
        <w:rPr>
          <w:b/>
          <w:bCs/>
          <w:color w:val="1F3864"/>
        </w:rPr>
        <w:t xml:space="preserve">6. Bottom line</w:t>
      </w:r>
    </w:p>
    <w:p>
      <w:pPr>
        <w:spacing w:after="80"/>
      </w:pPr>
      <w:r>
        <w:t xml:space="preserve">Doc 1 is the more heavily fact-checked draft: its chronology, forum, and figures all reconcile against the SCN, and it turns several of the SCN's own drafting defects (undated notice, mismatched tables, wood/timber slip) into affirmative grounds. It is, however, still a working draft with placeholders to fill. Doc 2 reads as finished, but at least two of its grounds (DRC-01A, forum) conflict with the SCN's own record, and its case citations and business description need independent verification. If a single reply is to be filed, Doc 1's factual and legal scaffolding is the safer base, with the gaps ([INSERT]/[CONFIRM] items) completed before filing.</w:t>
      </w:r>
    </w:p>
    <w:sectPr>
      <w:pgSz w:w="15840" w:h="12240" w:orient="portrait"/>
      <w:pgMar w:top="620" w:right="560" w:bottom="620" w:left="5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2026-09-23T06:39:40.013Z</dcterms:created>
  <dcterms:modified xsi:type="dcterms:W3CDTF">2026-09-23T06:39:40.013Z</dcterms:modified>
</cp:coreProperties>
</file>

<file path=docProps/custom.xml><?xml version="1.0" encoding="utf-8"?>
<Properties xmlns="http://schemas.openxmlformats.org/officeDocument/2006/custom-properties" xmlns:vt="http://schemas.openxmlformats.org/officeDocument/2006/docPropsVTypes"/>
</file>