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sz w:val="24"/>
        </w:rPr>
        <w:t>BEFORE THE SUPERINTENDENT OF CENTRAL TAX</w:t>
      </w:r>
    </w:p>
    <w:p>
      <w:pPr>
        <w:spacing w:after="120" w:line="324" w:lineRule="auto"/>
        <w:jc w:val="both"/>
      </w:pPr>
      <w:r>
        <w:rPr>
          <w:rFonts w:ascii="Times New Roman" w:hAnsi="Times New Roman"/>
        </w:rPr>
        <w:t>WARD 42, MUMBAI ZONE</w:t>
      </w:r>
    </w:p>
    <w:p>
      <w:pPr>
        <w:spacing w:after="120" w:line="324" w:lineRule="auto"/>
        <w:jc w:val="both"/>
      </w:pPr>
      <w:r>
        <w:rPr>
          <w:rFonts w:ascii="Times New Roman" w:hAnsi="Times New Roman"/>
        </w:rPr>
        <w:t>CENTRAL BOARD OF INDIRECT TAXES AND CUSTOMS</w:t>
      </w:r>
    </w:p>
    <w:p>
      <w:pPr>
        <w:spacing w:after="120" w:line="324" w:lineRule="auto"/>
        <w:jc w:val="both"/>
      </w:pPr>
      <w:r>
        <w:rPr>
          <w:rFonts w:ascii="Times New Roman" w:hAnsi="Times New Roman"/>
        </w:rPr>
        <w:t>GOVERNMENT OF INDIA</w:t>
      </w:r>
    </w:p>
    <w:p>
      <w:pPr>
        <w:spacing w:after="120" w:line="324" w:lineRule="auto"/>
        <w:jc w:val="both"/>
      </w:pPr>
      <w:r>
        <w:rPr>
          <w:rFonts w:ascii="Times New Roman" w:hAnsi="Times New Roman"/>
        </w:rPr>
        <w:t>To,</w:t>
      </w:r>
    </w:p>
    <w:p>
      <w:pPr>
        <w:spacing w:after="120" w:line="324" w:lineRule="auto"/>
        <w:jc w:val="both"/>
      </w:pPr>
      <w:r>
        <w:rPr>
          <w:rFonts w:ascii="Times New Roman" w:hAnsi="Times New Roman"/>
        </w:rPr>
        <w:t>Shri R.K. Sharma</w:t>
      </w:r>
    </w:p>
    <w:p>
      <w:pPr>
        <w:spacing w:after="120" w:line="324" w:lineRule="auto"/>
        <w:jc w:val="both"/>
      </w:pPr>
      <w:r>
        <w:rPr>
          <w:rFonts w:ascii="Times New Roman" w:hAnsi="Times New Roman"/>
        </w:rPr>
        <w:t>The Superintendent of Central Tax</w:t>
      </w:r>
    </w:p>
    <w:p>
      <w:pPr>
        <w:spacing w:after="120" w:line="324" w:lineRule="auto"/>
        <w:jc w:val="both"/>
      </w:pPr>
      <w:r>
        <w:rPr>
          <w:rFonts w:ascii="Times New Roman" w:hAnsi="Times New Roman"/>
        </w:rPr>
        <w:t>Ward 42, Mumbai Zone</w:t>
      </w:r>
    </w:p>
    <w:p>
      <w:pPr>
        <w:spacing w:after="120" w:line="324" w:lineRule="auto"/>
        <w:jc w:val="both"/>
      </w:pPr>
      <w:r>
        <w:rPr>
          <w:rFonts w:ascii="Times New Roman" w:hAnsi="Times New Roman"/>
        </w:rPr>
        <w:t>Central Board of Indirect Taxes and Customs</w:t>
      </w:r>
    </w:p>
    <w:p>
      <w:pPr>
        <w:spacing w:after="120" w:line="324" w:lineRule="auto"/>
        <w:jc w:val="both"/>
      </w:pPr>
      <w:r>
        <w:rPr>
          <w:rFonts w:ascii="Times New Roman" w:hAnsi="Times New Roman"/>
        </w:rPr>
        <w:t>Mumbai, Maharashtra</w:t>
      </w:r>
    </w:p>
    <w:p>
      <w:pPr>
        <w:spacing w:after="120" w:line="324" w:lineRule="auto"/>
        <w:jc w:val="both"/>
      </w:pPr>
      <w:r>
        <w:rPr>
          <w:rFonts w:ascii="Times New Roman" w:hAnsi="Times New Roman"/>
        </w:rPr>
        <w:t>Reference: Notice in Form GST ASMT-10 dated 15.10.2026</w:t>
      </w:r>
    </w:p>
    <w:p>
      <w:pPr>
        <w:spacing w:after="120" w:line="324" w:lineRule="auto"/>
        <w:jc w:val="both"/>
      </w:pPr>
      <w:r>
        <w:rPr>
          <w:rFonts w:ascii="Times New Roman" w:hAnsi="Times New Roman"/>
        </w:rPr>
        <w:t>Financial Year: 2024-25 (Tax Period: April 2024 to March 2025)</w:t>
      </w:r>
    </w:p>
    <w:p>
      <w:pPr>
        <w:spacing w:after="120" w:line="324" w:lineRule="auto"/>
        <w:jc w:val="both"/>
      </w:pPr>
      <w:r>
        <w:rPr>
          <w:rFonts w:ascii="Times New Roman" w:hAnsi="Times New Roman"/>
        </w:rPr>
        <w:t>GSTIN: 27AAACA9876B1Z5</w:t>
      </w:r>
    </w:p>
    <w:p>
      <w:pPr>
        <w:spacing w:after="120" w:line="324" w:lineRule="auto"/>
        <w:jc w:val="both"/>
      </w:pPr>
      <w:r>
        <w:rPr>
          <w:rFonts w:ascii="Times New Roman" w:hAnsi="Times New Roman"/>
        </w:rPr>
        <w:t>Assessee: M/s Acme Industries Private Limited</w:t>
      </w:r>
    </w:p>
    <w:p>
      <w:pPr>
        <w:spacing w:after="120" w:line="324" w:lineRule="auto"/>
        <w:jc w:val="both"/>
      </w:pPr>
      <w:r>
        <w:rPr>
          <w:rFonts w:ascii="Times New Roman" w:hAnsi="Times New Roman"/>
        </w:rPr>
        <w:t>Subject: Written Reply in Form GST ASMT-11 to the Notice for Intimation of Discrepancies under Rule 99 of the CGST Rules, 2017, in respect of Input Tax Credit availed on ASIC Mining Equipment and Cooling Apparatus.</w:t>
      </w:r>
    </w:p>
    <w:p>
      <w:pPr>
        <w:spacing w:after="120" w:line="324" w:lineRule="auto"/>
        <w:jc w:val="both"/>
      </w:pPr>
      <w:r>
        <w:rPr>
          <w:rFonts w:ascii="Times New Roman" w:hAnsi="Times New Roman"/>
        </w:rPr>
        <w:t>Respected Sir,</w:t>
      </w:r>
    </w:p>
    <w:p>
      <w:pPr>
        <w:spacing w:before="240" w:after="200"/>
        <w:jc w:val="left"/>
      </w:pPr>
      <w:r>
        <w:rPr>
          <w:rFonts w:ascii="Times New Roman" w:hAnsi="Times New Roman"/>
          <w:b/>
          <w:sz w:val="24"/>
        </w:rPr>
        <w:t>MOST RESPECTFULLY SHOWETH:</w:t>
      </w:r>
    </w:p>
    <w:p>
      <w:pPr>
        <w:spacing w:after="120" w:line="324" w:lineRule="auto"/>
        <w:jc w:val="both"/>
      </w:pPr>
      <w:r>
        <w:rPr>
          <w:rFonts w:ascii="Times New Roman" w:hAnsi="Times New Roman"/>
          <w:b/>
        </w:rPr>
        <w:t xml:space="preserve">1. </w:t>
      </w:r>
      <w:r>
        <w:rPr>
          <w:rFonts w:ascii="Times New Roman" w:hAnsi="Times New Roman"/>
        </w:rPr>
        <w:t>That the Assessee, M/s Acme Industries Private Limited, is a duly registered person under the Central Goods and Services Tax Act, 2017 ("the CGST Act") and the Maharashtra Goods and Services Tax Act, 2017, having its principal place of business at 142, Nariman Point, Mumbai – 400021, and bearing GSTIN 27AAACA9876B1Z5.</w:t>
      </w:r>
    </w:p>
    <w:p>
      <w:pPr>
        <w:spacing w:after="120" w:line="324" w:lineRule="auto"/>
        <w:jc w:val="both"/>
      </w:pPr>
      <w:r>
        <w:rPr>
          <w:rFonts w:ascii="Times New Roman" w:hAnsi="Times New Roman"/>
          <w:b/>
        </w:rPr>
        <w:t xml:space="preserve">2. </w:t>
      </w:r>
      <w:r>
        <w:rPr>
          <w:rFonts w:ascii="Times New Roman" w:hAnsi="Times New Roman"/>
        </w:rPr>
        <w:t>That the Assessee is in receipt of the Notice bearing reference cited above, issued in Form GST ASMT-10 under Rule 99 of the CGST Rules, 2017, alleging that Input Tax Credit ("ITC") of Rs. 45,50,000/- availed on the purchase of Application-Specific Integrated Circuit (ASIC) Miners and related high-capacity cooling equipment is in contravention of Section 16(1) of the CGST Act, 2017.</w:t>
      </w:r>
    </w:p>
    <w:p>
      <w:pPr>
        <w:spacing w:after="120" w:line="324" w:lineRule="auto"/>
        <w:jc w:val="both"/>
      </w:pPr>
      <w:r>
        <w:rPr>
          <w:rFonts w:ascii="Times New Roman" w:hAnsi="Times New Roman"/>
          <w:b/>
        </w:rPr>
        <w:t xml:space="preserve">3. </w:t>
      </w:r>
      <w:r>
        <w:rPr>
          <w:rFonts w:ascii="Times New Roman" w:hAnsi="Times New Roman"/>
        </w:rPr>
        <w:t>That the Assessee, while reserving its rights to file additional submissions, additional documents and additional legal grounds at any subsequent stage of the proceedings, respectfully submits the following point-wise reply for kind consideration of the Learned Proper Officer:</w:t>
      </w:r>
    </w:p>
    <w:p>
      <w:pPr>
        <w:spacing w:after="120" w:line="324" w:lineRule="auto"/>
        <w:jc w:val="both"/>
      </w:pPr>
      <w:r>
        <w:rPr>
          <w:rFonts w:ascii="Times New Roman" w:hAnsi="Times New Roman"/>
        </w:rPr>
        <w:t>PRELIMINARY SUBMISSIONS</w:t>
      </w:r>
    </w:p>
    <w:p>
      <w:pPr>
        <w:spacing w:after="120" w:line="324" w:lineRule="auto"/>
        <w:jc w:val="both"/>
      </w:pPr>
      <w:r>
        <w:rPr>
          <w:rFonts w:ascii="Times New Roman" w:hAnsi="Times New Roman"/>
          <w:b/>
        </w:rPr>
        <w:t xml:space="preserve">4. </w:t>
      </w:r>
      <w:r>
        <w:rPr>
          <w:rFonts w:ascii="Times New Roman" w:hAnsi="Times New Roman"/>
        </w:rPr>
        <w:t>At the outset, the Assessee denies each and every allegation, averment, inference and conclusion contained in the impugned Notice, save and except those that are specifically admitted hereinafter. Nothing contained in the said Notice shall be deemed to have been admitted for want of specific denial.</w:t>
      </w:r>
    </w:p>
    <w:p>
      <w:pPr>
        <w:spacing w:after="120" w:line="324" w:lineRule="auto"/>
        <w:jc w:val="both"/>
      </w:pPr>
      <w:r>
        <w:rPr>
          <w:rFonts w:ascii="Times New Roman" w:hAnsi="Times New Roman"/>
          <w:b/>
        </w:rPr>
        <w:t xml:space="preserve">5. </w:t>
      </w:r>
      <w:r>
        <w:rPr>
          <w:rFonts w:ascii="Times New Roman" w:hAnsi="Times New Roman"/>
        </w:rPr>
        <w:t>It is submitted that the observation of the Learned Proper Officer proceeds on a factual misconception with regard to the business activity of the Assessee and the scope of business as reflected on the GST Registration Certificate.</w:t>
      </w:r>
    </w:p>
    <w:p>
      <w:pPr>
        <w:spacing w:after="120" w:line="324" w:lineRule="auto"/>
        <w:jc w:val="both"/>
      </w:pPr>
      <w:r>
        <w:rPr>
          <w:rFonts w:ascii="Times New Roman" w:hAnsi="Times New Roman"/>
        </w:rPr>
        <w:t>GROUND A: THAT THE IMPUGNED PROCUREMENT IS FULLY ELIGIBLE FOR INPUT TAX CREDIT UNDER SECTION 16(1) OF THE CGST ACT, 2017</w:t>
      </w:r>
    </w:p>
    <w:p>
      <w:pPr>
        <w:spacing w:after="120" w:line="324" w:lineRule="auto"/>
        <w:jc w:val="both"/>
      </w:pPr>
      <w:r>
        <w:rPr>
          <w:rFonts w:ascii="Times New Roman" w:hAnsi="Times New Roman"/>
          <w:b/>
        </w:rPr>
        <w:t xml:space="preserve">6. </w:t>
      </w:r>
      <w:r>
        <w:rPr>
          <w:rFonts w:ascii="Times New Roman" w:hAnsi="Times New Roman"/>
        </w:rPr>
        <w:t>That Section 16(1) of the CGST Act, 2017, entitles every registered person to take credit of input tax charged on any supply of goods or services or both which are used or intended to be used in the course or furtherance of his business. The expression "business" as defined under Section 2(17) of the CGST Act is of the widest amplitude and includes any trade, commerce, manufacture, profession, vocation, adventure, wager or any other similar activity, whether or not it is for a pecuniary benefit, and irrespective of the volume, frequency, continuity or regularity of such transaction.</w:t>
      </w:r>
    </w:p>
    <w:p>
      <w:pPr>
        <w:spacing w:after="120" w:line="324" w:lineRule="auto"/>
        <w:jc w:val="both"/>
      </w:pPr>
      <w:r>
        <w:rPr>
          <w:rFonts w:ascii="Times New Roman" w:hAnsi="Times New Roman"/>
          <w:b/>
        </w:rPr>
        <w:t xml:space="preserve">7. </w:t>
      </w:r>
      <w:r>
        <w:rPr>
          <w:rFonts w:ascii="Times New Roman" w:hAnsi="Times New Roman"/>
        </w:rPr>
        <w:t>It is respectfully submitted that the Assessee, in addition to its existing profession of rendering Chartered Accountancy Services (SAC 99822), has commercially diversified into the activity of providing high-performance computing infrastructure and data-processing services, which incidentally utilises ASIC-based hardware. The impugned equipment has been procured for the purpose of rendering taxable output services, and the said activity squarely falls within the expansive meaning of "business" as defined under Section 2(17) of the CGST Act.</w:t>
      </w:r>
    </w:p>
    <w:p>
      <w:pPr>
        <w:spacing w:after="120" w:line="324" w:lineRule="auto"/>
        <w:jc w:val="both"/>
      </w:pPr>
      <w:r>
        <w:rPr>
          <w:rFonts w:ascii="Times New Roman" w:hAnsi="Times New Roman"/>
          <w:b/>
        </w:rPr>
        <w:t xml:space="preserve">8. </w:t>
      </w:r>
      <w:r>
        <w:rPr>
          <w:rFonts w:ascii="Times New Roman" w:hAnsi="Times New Roman"/>
        </w:rPr>
        <w:t>That the observation in the impugned Notice, viz., "the procurement of cryptocurrency mining equipment does not appear to be used or intended to be used in the course or furtherance of your registered business", is based on an incorrect appreciation of facts. The Assessee has, in fact, filed an amendment application in Form GST REG-14 for inclusion of additional business activities in the Registration Certificate, a copy whereof is annexed hereto. It is settled law that the mere absence of an activity in the Registration Certificate cannot, by itself, be a ground to deny ITC, so long as the activity constitutes "business" within the meaning of Section 2(17). Reliance in this regard is placed on the judgment of the Hon'ble Supreme Court in State of Andhra Pradesh v. Larsen &amp; Toubro Ltd. and various decisions holding that substantive benefit cannot be denied on hyper-technical grounds.</w:t>
      </w:r>
    </w:p>
    <w:p>
      <w:pPr>
        <w:spacing w:after="120" w:line="324" w:lineRule="auto"/>
        <w:jc w:val="both"/>
      </w:pPr>
      <w:r>
        <w:rPr>
          <w:rFonts w:ascii="Times New Roman" w:hAnsi="Times New Roman"/>
          <w:b/>
        </w:rPr>
        <w:t xml:space="preserve">9. </w:t>
      </w:r>
      <w:r>
        <w:rPr>
          <w:rFonts w:ascii="Times New Roman" w:hAnsi="Times New Roman"/>
        </w:rPr>
        <w:t>That the ASIC Miners and cooling equipment are neither specified in the negative list under Section 17(5) of the CGST Act nor are they goods used for personal consumption. The ITC availed therefore does not attract any of the disabling provisions of the Act.</w:t>
      </w:r>
    </w:p>
    <w:p>
      <w:pPr>
        <w:spacing w:after="120" w:line="324" w:lineRule="auto"/>
        <w:jc w:val="both"/>
      </w:pPr>
      <w:r>
        <w:rPr>
          <w:rFonts w:ascii="Times New Roman" w:hAnsi="Times New Roman"/>
          <w:b/>
        </w:rPr>
        <w:t xml:space="preserve">10. </w:t>
      </w:r>
      <w:r>
        <w:rPr>
          <w:rFonts w:ascii="Times New Roman" w:hAnsi="Times New Roman"/>
        </w:rPr>
        <w:t>That Circular No. 172/04/2022-GST dated 06.07.2022 and Circular No. 183/15/2022-GST dated 27.12.2022 issued by the CBIC categorically clarify that eligibility to ITC is to be determined on the touchstone of Section 16(1) read with Section 17, and not on the basis of what appears in the registration record alone. Any incidental deficiency in registration particulars is curable and cannot form the foundation for reversal of legitimately availed ITC.</w:t>
      </w:r>
    </w:p>
    <w:p>
      <w:pPr>
        <w:spacing w:after="120" w:line="324" w:lineRule="auto"/>
        <w:jc w:val="both"/>
      </w:pPr>
      <w:r>
        <w:rPr>
          <w:rFonts w:ascii="Times New Roman" w:hAnsi="Times New Roman"/>
          <w:b/>
        </w:rPr>
        <w:t xml:space="preserve">11. </w:t>
      </w:r>
      <w:r>
        <w:rPr>
          <w:rFonts w:ascii="Times New Roman" w:hAnsi="Times New Roman"/>
        </w:rPr>
        <w:t>That the characterisation in the Notice of the Assessee's activity as "trading or mining in Virtual Digital Assets" is factually incorrect. The Assessee is engaged in providing computing power / hash-rate services to third parties on a business-to-business basis under duly executed service agreements, and the consideration received therefor is being duly discharged to output GST wherever applicable. Even assuming without admitting that any portion of the activity relates to VDAs, the same does not, in law, disentitle the Assessee to ITC on the underlying inputs and capital goods that are used to render taxable services.</w:t>
      </w:r>
    </w:p>
    <w:p>
      <w:pPr>
        <w:spacing w:after="120" w:line="324" w:lineRule="auto"/>
        <w:jc w:val="both"/>
      </w:pPr>
      <w:r>
        <w:rPr>
          <w:rFonts w:ascii="Times New Roman" w:hAnsi="Times New Roman"/>
          <w:b/>
        </w:rPr>
        <w:t xml:space="preserve">12. </w:t>
      </w:r>
      <w:r>
        <w:rPr>
          <w:rFonts w:ascii="Times New Roman" w:hAnsi="Times New Roman"/>
        </w:rPr>
        <w:t>That all conditions prescribed under Section 16(2) of the CGST Act have been duly complied with, viz., (i) the Assessee is in possession of a tax invoice; (ii) the goods have been received; (iii) the supplier has duly paid the tax to the Government and reflected the same in GSTR-1; (iv) the ITC stands auto-populated in GSTR-2B; and (v) the return under Section 39 has been duly furnished. Consequently, the credit availed is fully sustainable in law.</w:t>
      </w:r>
    </w:p>
    <w:p>
      <w:pPr>
        <w:spacing w:after="120" w:line="324" w:lineRule="auto"/>
        <w:jc w:val="both"/>
      </w:pPr>
      <w:r>
        <w:rPr>
          <w:rFonts w:ascii="Times New Roman" w:hAnsi="Times New Roman"/>
        </w:rPr>
        <w:t>GROUND B: THAT THE INVOCATION OF SECTION 73 IS PREMATURE AND THE NOTICE SUFFERS FROM PROCEDURAL INFIRMITIES UNDER SECTIONS 73/74/75 OF THE CGST ACT</w:t>
      </w:r>
    </w:p>
    <w:p>
      <w:pPr>
        <w:spacing w:after="120" w:line="324" w:lineRule="auto"/>
        <w:jc w:val="both"/>
      </w:pPr>
      <w:r>
        <w:rPr>
          <w:rFonts w:ascii="Times New Roman" w:hAnsi="Times New Roman"/>
          <w:b/>
        </w:rPr>
        <w:t xml:space="preserve">13. </w:t>
      </w:r>
      <w:r>
        <w:rPr>
          <w:rFonts w:ascii="Times New Roman" w:hAnsi="Times New Roman"/>
        </w:rPr>
        <w:t>That the impugned Notice, issued in Form GST ASMT-10 under Rule 99 of the CGST Rules, is only an intimation of discrepancy calling upon the Assessee to explain the same. The Notice, however, prematurely threatens the levy of interest and penalty and invocation of Sections 73/74 even before affording the Assessee an opportunity to substantiate its position. Such pre-judgment is contrary to the settled principles of natural justice and to the scheme envisaged under Rule 99(2) and (3) of the CGST Rules, 2017.</w:t>
      </w:r>
    </w:p>
    <w:p>
      <w:pPr>
        <w:spacing w:after="120" w:line="324" w:lineRule="auto"/>
        <w:jc w:val="both"/>
      </w:pPr>
      <w:r>
        <w:rPr>
          <w:rFonts w:ascii="Times New Roman" w:hAnsi="Times New Roman"/>
          <w:b/>
        </w:rPr>
        <w:t xml:space="preserve">14. </w:t>
      </w:r>
      <w:r>
        <w:rPr>
          <w:rFonts w:ascii="Times New Roman" w:hAnsi="Times New Roman"/>
        </w:rPr>
        <w:t>That in terms of Rule 99(3), it is only if the explanation furnished by the Assessee is found to be not acceptable that the Proper Officer may proceed further under Sections 65, 66, 67 or Sections 73/74. The impugned Notice thus deserves to be concluded by acceptance of the present reply and by intimating the same in Form GST ASMT-12.</w:t>
      </w:r>
    </w:p>
    <w:p>
      <w:pPr>
        <w:spacing w:after="120" w:line="324" w:lineRule="auto"/>
        <w:jc w:val="both"/>
      </w:pPr>
      <w:r>
        <w:rPr>
          <w:rFonts w:ascii="Times New Roman" w:hAnsi="Times New Roman"/>
          <w:b/>
        </w:rPr>
        <w:t xml:space="preserve">15. </w:t>
      </w:r>
      <w:r>
        <w:rPr>
          <w:rFonts w:ascii="Times New Roman" w:hAnsi="Times New Roman"/>
        </w:rPr>
        <w:t>That any invocation of Section 74 in the present facts would be wholly unwarranted, inasmuch as there is no allegation, much less any material, to demonstrate fraud, wilful misstatement, or suppression of facts with intent to evade tax on the part of the Assessee. It is a settled position in law, as held by the Hon'ble Supreme Court in Pushpam Pharmaceuticals v. CCE [1995 (78) ELT 401 (SC)] and CCE v. Chemphar Drugs and Liniments [1989 (40) ELT 276 (SC)], that the extended period of limitation cannot be invoked in the absence of positive material evidencing suppression with intent to evade tax.</w:t>
      </w:r>
    </w:p>
    <w:p>
      <w:pPr>
        <w:spacing w:after="120" w:line="324" w:lineRule="auto"/>
        <w:jc w:val="both"/>
      </w:pPr>
      <w:r>
        <w:rPr>
          <w:rFonts w:ascii="Times New Roman" w:hAnsi="Times New Roman"/>
          <w:b/>
        </w:rPr>
        <w:t xml:space="preserve">16. </w:t>
      </w:r>
      <w:r>
        <w:rPr>
          <w:rFonts w:ascii="Times New Roman" w:hAnsi="Times New Roman"/>
        </w:rPr>
        <w:t>That any adjudication in the matter must be preceded by a proper Show Cause Notice detailing the grounds, quantification, and legal provisions invoked, and by grant of a mandatory personal hearing in accordance with Section 75(4) of the CGST Act, 2017.</w:t>
      </w:r>
    </w:p>
    <w:p>
      <w:pPr>
        <w:spacing w:before="280" w:after="120"/>
        <w:jc w:val="left"/>
      </w:pPr>
      <w:r>
        <w:rPr>
          <w:rFonts w:ascii="Times New Roman" w:hAnsi="Times New Roman"/>
          <w:b/>
          <w:sz w:val="24"/>
          <w:u w:val="single"/>
        </w:rPr>
        <w:t>PRAYER</w:t>
      </w:r>
    </w:p>
    <w:p>
      <w:pPr>
        <w:spacing w:after="120" w:line="324" w:lineRule="auto"/>
        <w:jc w:val="both"/>
      </w:pPr>
      <w:r>
        <w:rPr>
          <w:rFonts w:ascii="Times New Roman" w:hAnsi="Times New Roman"/>
        </w:rPr>
        <w:t>In view of the aforesaid facts, circumstances and legal position, it is most respectfully prayed that this Learned Authority may be pleased to:</w:t>
      </w:r>
    </w:p>
    <w:p>
      <w:pPr>
        <w:spacing w:after="120" w:line="324" w:lineRule="auto"/>
        <w:jc w:val="both"/>
      </w:pPr>
      <w:r>
        <w:rPr>
          <w:rFonts w:ascii="Times New Roman" w:hAnsi="Times New Roman"/>
          <w:b/>
        </w:rPr>
        <w:t xml:space="preserve">(a) </w:t>
      </w:r>
      <w:r>
        <w:rPr>
          <w:rFonts w:ascii="Times New Roman" w:hAnsi="Times New Roman"/>
        </w:rPr>
        <w:t>accept the present reply as full, complete and satisfactory explanation to the discrepancies alleged in the Notice in Form GST ASMT-10 dated 15.10.2026;</w:t>
      </w:r>
    </w:p>
    <w:p>
      <w:pPr>
        <w:spacing w:after="120" w:line="324" w:lineRule="auto"/>
        <w:jc w:val="both"/>
      </w:pPr>
      <w:r>
        <w:rPr>
          <w:rFonts w:ascii="Times New Roman" w:hAnsi="Times New Roman"/>
          <w:b/>
        </w:rPr>
        <w:t xml:space="preserve">(b) </w:t>
      </w:r>
      <w:r>
        <w:rPr>
          <w:rFonts w:ascii="Times New Roman" w:hAnsi="Times New Roman"/>
        </w:rPr>
        <w:t>drop the proposed proceedings under Section 73/74 of the CGST Act, 2017, and intimate the acceptance of this reply in Form GST ASMT-12 in terms of Rule 99(3) of the CGST Rules, 2017;</w:t>
      </w:r>
    </w:p>
    <w:p>
      <w:pPr>
        <w:spacing w:after="120" w:line="324" w:lineRule="auto"/>
        <w:jc w:val="both"/>
      </w:pPr>
      <w:r>
        <w:rPr>
          <w:rFonts w:ascii="Times New Roman" w:hAnsi="Times New Roman"/>
          <w:b/>
        </w:rPr>
        <w:t xml:space="preserve">(c) </w:t>
      </w:r>
      <w:r>
        <w:rPr>
          <w:rFonts w:ascii="Times New Roman" w:hAnsi="Times New Roman"/>
        </w:rPr>
        <w:t>grant an opportunity of personal hearing to the Assessee and/or its Authorised Representative under Section 75(4) of the CGST Act, 2017, before passing any order adverse to the interest of the Assessee;</w:t>
      </w:r>
    </w:p>
    <w:p>
      <w:pPr>
        <w:spacing w:after="120" w:line="324" w:lineRule="auto"/>
        <w:jc w:val="both"/>
      </w:pPr>
      <w:r>
        <w:rPr>
          <w:rFonts w:ascii="Times New Roman" w:hAnsi="Times New Roman"/>
          <w:b/>
        </w:rPr>
        <w:t xml:space="preserve">(d) </w:t>
      </w:r>
      <w:r>
        <w:rPr>
          <w:rFonts w:ascii="Times New Roman" w:hAnsi="Times New Roman"/>
        </w:rPr>
        <w:t>permit the Assessee to file additional submissions, documents and case laws at any subsequent stage of the proceedings; and</w:t>
      </w:r>
    </w:p>
    <w:p>
      <w:pPr>
        <w:spacing w:after="120" w:line="324" w:lineRule="auto"/>
        <w:jc w:val="both"/>
      </w:pPr>
      <w:r>
        <w:rPr>
          <w:rFonts w:ascii="Times New Roman" w:hAnsi="Times New Roman"/>
          <w:b/>
        </w:rPr>
        <w:t xml:space="preserve">(e) </w:t>
      </w:r>
      <w:r>
        <w:rPr>
          <w:rFonts w:ascii="Times New Roman" w:hAnsi="Times New Roman"/>
        </w:rPr>
        <w:t>pass such further or other orders as this Learned Authority may deem fit and proper in the facts and circumstances of the case, in the interest of justice and equity.</w:t>
      </w:r>
    </w:p>
    <w:p>
      <w:pPr>
        <w:spacing w:after="120" w:line="324" w:lineRule="auto"/>
        <w:jc w:val="both"/>
      </w:pPr>
      <w:r>
        <w:rPr>
          <w:rFonts w:ascii="Times New Roman" w:hAnsi="Times New Roman"/>
        </w:rPr>
        <w:t>AND FOR THIS ACT OF KINDNESS, THE ASSESSEE, AS IN DUTY BOUND, SHALL EVER PRAY.</w:t>
      </w:r>
    </w:p>
    <w:p>
      <w:pPr>
        <w:spacing w:after="80"/>
        <w:jc w:val="right"/>
      </w:pPr>
      <w:r>
        <w:rPr>
          <w:rFonts w:ascii="Times New Roman" w:hAnsi="Times New Roman"/>
          <w:b/>
        </w:rPr>
        <w:t>For M/s Acme Industries Private Limited</w:t>
      </w:r>
    </w:p>
    <w:p>
      <w:pPr>
        <w:spacing w:after="120" w:line="324" w:lineRule="auto"/>
        <w:jc w:val="both"/>
      </w:pPr>
      <w:r>
        <w:rPr>
          <w:rFonts w:ascii="Times New Roman" w:hAnsi="Times New Roman"/>
        </w:rPr>
        <w:t>(Authorised Signatory)</w:t>
      </w:r>
    </w:p>
    <w:p>
      <w:pPr>
        <w:spacing w:after="120" w:line="324" w:lineRule="auto"/>
        <w:jc w:val="both"/>
      </w:pPr>
      <w:r>
        <w:rPr>
          <w:rFonts w:ascii="Times New Roman" w:hAnsi="Times New Roman"/>
        </w:rPr>
        <w:t>Name: __________________</w:t>
      </w:r>
    </w:p>
    <w:p>
      <w:pPr>
        <w:spacing w:after="120" w:line="324" w:lineRule="auto"/>
        <w:jc w:val="both"/>
      </w:pPr>
      <w:r>
        <w:rPr>
          <w:rFonts w:ascii="Times New Roman" w:hAnsi="Times New Roman"/>
        </w:rPr>
        <w:t>Designation: Director / Authorised Signatory</w:t>
      </w:r>
    </w:p>
    <w:p>
      <w:pPr>
        <w:spacing w:after="120" w:line="324" w:lineRule="auto"/>
        <w:jc w:val="both"/>
      </w:pPr>
      <w:r>
        <w:rPr>
          <w:rFonts w:ascii="Times New Roman" w:hAnsi="Times New Roman"/>
        </w:rPr>
        <w:t>DIN / PAN: __________________</w:t>
      </w:r>
    </w:p>
    <w:p>
      <w:pPr>
        <w:spacing w:after="120" w:line="324" w:lineRule="auto"/>
        <w:jc w:val="both"/>
      </w:pPr>
      <w:r>
        <w:rPr>
          <w:rFonts w:ascii="Times New Roman" w:hAnsi="Times New Roman"/>
        </w:rPr>
        <w:t>Place: Mumbai</w:t>
      </w:r>
    </w:p>
    <w:p>
      <w:pPr>
        <w:spacing w:after="120" w:line="324" w:lineRule="auto"/>
        <w:jc w:val="both"/>
      </w:pPr>
      <w:r>
        <w:rPr>
          <w:rFonts w:ascii="Times New Roman" w:hAnsi="Times New Roman"/>
        </w:rPr>
        <w:t>Date: ____________</w:t>
      </w:r>
    </w:p>
    <w:p>
      <w:pPr>
        <w:spacing w:before="280" w:after="120"/>
        <w:jc w:val="left"/>
      </w:pPr>
      <w:r>
        <w:rPr>
          <w:rFonts w:ascii="Times New Roman" w:hAnsi="Times New Roman"/>
          <w:b/>
          <w:sz w:val="24"/>
          <w:u w:val="single"/>
        </w:rPr>
        <w:t>VERIFICATION</w:t>
      </w:r>
    </w:p>
    <w:p>
      <w:pPr>
        <w:spacing w:after="120" w:line="324" w:lineRule="auto"/>
        <w:jc w:val="both"/>
      </w:pPr>
      <w:r>
        <w:rPr>
          <w:rFonts w:ascii="Times New Roman" w:hAnsi="Times New Roman"/>
        </w:rPr>
        <w:t>I, ______________________, son/daughter of ______________________, aged about ______ years, presently residing at ____________________________________, being the duly Authorised Signatory / Director of M/s Acme Industries Private Limited, do hereby solemnly affirm and verify that the contents of the aforesaid reply from paragraphs 1 to 16, along with the Prayer clause, are true and correct to the best of my knowledge, information and belief, and that nothing material has been concealed therefrom. The annexures accompanying this reply are true copies of their respective originals.</w:t>
      </w:r>
    </w:p>
    <w:p>
      <w:pPr>
        <w:spacing w:after="120" w:line="324" w:lineRule="auto"/>
        <w:jc w:val="both"/>
      </w:pPr>
      <w:r>
        <w:rPr>
          <w:rFonts w:ascii="Times New Roman" w:hAnsi="Times New Roman"/>
        </w:rPr>
        <w:t>Verified at Mumbai on this _____ day of October, 2026.</w:t>
      </w:r>
    </w:p>
    <w:p>
      <w:pPr>
        <w:spacing w:after="120" w:line="324" w:lineRule="auto"/>
        <w:jc w:val="both"/>
      </w:pPr>
      <w:r>
        <w:rPr>
          <w:rFonts w:ascii="Times New Roman" w:hAnsi="Times New Roman"/>
        </w:rPr>
        <w:t>(Authorised Signatory / Deponent)</w:t>
      </w:r>
    </w:p>
    <w:p>
      <w:pPr>
        <w:spacing w:after="120" w:line="324" w:lineRule="auto"/>
        <w:jc w:val="both"/>
      </w:pPr>
      <w:r>
        <w:rPr>
          <w:rFonts w:ascii="Times New Roman" w:hAnsi="Times New Roman"/>
        </w:rPr>
        <w:t>LIST OF ANNEXURES</w:t>
      </w:r>
    </w:p>
    <w:p>
      <w:pPr>
        <w:spacing w:after="120" w:line="324" w:lineRule="auto"/>
        <w:jc w:val="both"/>
      </w:pPr>
      <w:r>
        <w:rPr>
          <w:rFonts w:ascii="Times New Roman" w:hAnsi="Times New Roman"/>
        </w:rPr>
        <w:t>• Annexure-1: Copy of the impugned Notice in Form GST ASMT-10 dated 15.10.2026.</w:t>
      </w:r>
    </w:p>
    <w:p>
      <w:pPr>
        <w:spacing w:after="120" w:line="324" w:lineRule="auto"/>
        <w:jc w:val="both"/>
      </w:pPr>
      <w:r>
        <w:rPr>
          <w:rFonts w:ascii="Times New Roman" w:hAnsi="Times New Roman"/>
        </w:rPr>
        <w:t>• Annexure-2: Copy of the GST Registration Certificate (Form GST REG-06) of the Assessee.</w:t>
      </w:r>
    </w:p>
    <w:p>
      <w:pPr>
        <w:spacing w:after="120" w:line="324" w:lineRule="auto"/>
        <w:jc w:val="both"/>
      </w:pPr>
      <w:r>
        <w:rPr>
          <w:rFonts w:ascii="Times New Roman" w:hAnsi="Times New Roman"/>
        </w:rPr>
        <w:t>• Annexure-3: Copy of application filed in Form GST REG-14 for amendment of Registration Certificate to include additional business activity of providing computing/data-processing services.</w:t>
      </w:r>
    </w:p>
    <w:p>
      <w:pPr>
        <w:spacing w:after="120" w:line="324" w:lineRule="auto"/>
        <w:jc w:val="both"/>
      </w:pPr>
      <w:r>
        <w:rPr>
          <w:rFonts w:ascii="Times New Roman" w:hAnsi="Times New Roman"/>
        </w:rPr>
        <w:t>• Annexure-4: Copies of tax invoices in respect of the ASIC Miners and cooling equipment procured, along with corresponding e-way bills.</w:t>
      </w:r>
    </w:p>
    <w:p>
      <w:pPr>
        <w:spacing w:after="120" w:line="324" w:lineRule="auto"/>
        <w:jc w:val="both"/>
      </w:pPr>
      <w:r>
        <w:rPr>
          <w:rFonts w:ascii="Times New Roman" w:hAnsi="Times New Roman"/>
        </w:rPr>
        <w:t>• Annexure-5: Copy of GSTR-2B for the relevant tax periods reflecting the impugned ITC as auto-populated.</w:t>
      </w:r>
    </w:p>
    <w:p>
      <w:pPr>
        <w:spacing w:after="120" w:line="324" w:lineRule="auto"/>
        <w:jc w:val="both"/>
      </w:pPr>
      <w:r>
        <w:rPr>
          <w:rFonts w:ascii="Times New Roman" w:hAnsi="Times New Roman"/>
        </w:rPr>
        <w:t>• Annexure-6: Copies of GSTR-3B returns filed for the tax periods April 2024 to March 2025.</w:t>
      </w:r>
    </w:p>
    <w:p>
      <w:pPr>
        <w:spacing w:after="120" w:line="324" w:lineRule="auto"/>
        <w:jc w:val="both"/>
      </w:pPr>
      <w:r>
        <w:rPr>
          <w:rFonts w:ascii="Times New Roman" w:hAnsi="Times New Roman"/>
        </w:rPr>
        <w:t>• Annexure-7: Copies of service agreements executed with clients for provision of computing/hash-rate services.</w:t>
      </w:r>
    </w:p>
    <w:p>
      <w:pPr>
        <w:spacing w:after="120" w:line="324" w:lineRule="auto"/>
        <w:jc w:val="both"/>
      </w:pPr>
      <w:r>
        <w:rPr>
          <w:rFonts w:ascii="Times New Roman" w:hAnsi="Times New Roman"/>
        </w:rPr>
        <w:t>• Annexure-8: Sample copies of output taxinvoices raised by the Assessee upon its clients along with proof of discharge of output GST liability thereon.</w:t>
      </w:r>
    </w:p>
    <w:p>
      <w:pPr>
        <w:spacing w:after="120" w:line="324" w:lineRule="auto"/>
        <w:jc w:val="both"/>
      </w:pPr>
      <w:r>
        <w:rPr>
          <w:rFonts w:ascii="Times New Roman" w:hAnsi="Times New Roman"/>
        </w:rPr>
        <w:t>• Annexure-9: Copies of bank statements evidencing receipt of consideration from clients in respect of the output services rendered using the impugned equipment.</w:t>
      </w:r>
    </w:p>
    <w:p>
      <w:pPr>
        <w:spacing w:after="120" w:line="324" w:lineRule="auto"/>
        <w:jc w:val="both"/>
      </w:pPr>
      <w:r>
        <w:rPr>
          <w:rFonts w:ascii="Times New Roman" w:hAnsi="Times New Roman"/>
        </w:rPr>
        <w:t>• Annexure-10: Copy of Board Resolution passed by the Board of Directors of M/s Acme Industries Private Limited authorising diversification of business into provision of high-performance computing / data-processing services.</w:t>
      </w:r>
    </w:p>
    <w:p>
      <w:pPr>
        <w:spacing w:after="120" w:line="324" w:lineRule="auto"/>
        <w:jc w:val="both"/>
      </w:pPr>
      <w:r>
        <w:rPr>
          <w:rFonts w:ascii="Times New Roman" w:hAnsi="Times New Roman"/>
        </w:rPr>
        <w:t>• Annexure-11: Copy of the Ledger Account of "Input Tax Credit – Capital Goods" as maintained in the books of account of the Assessee for the Financial Year 2024-25, duly reconciled with GSTR-3B and GSTR-2B.</w:t>
      </w:r>
    </w:p>
    <w:p>
      <w:pPr>
        <w:spacing w:after="120" w:line="324" w:lineRule="auto"/>
        <w:jc w:val="both"/>
      </w:pPr>
      <w:r>
        <w:rPr>
          <w:rFonts w:ascii="Times New Roman" w:hAnsi="Times New Roman"/>
        </w:rPr>
        <w:t>• Annexure-12: Reconciliation Statement of ITC availed as per GSTR-3B vis-à-vis GSTR-2B for the tax period April 2024 to March 2025.</w:t>
      </w:r>
    </w:p>
    <w:p>
      <w:pPr>
        <w:spacing w:after="120" w:line="324" w:lineRule="auto"/>
        <w:jc w:val="both"/>
      </w:pPr>
      <w:r>
        <w:rPr>
          <w:rFonts w:ascii="Times New Roman" w:hAnsi="Times New Roman"/>
        </w:rPr>
        <w:t>• Annexure-13: Copy of Fixed Asset Register reflecting capitalisation of ASIC Miners and cooling equipment in the books of account of the Assessee.</w:t>
      </w:r>
    </w:p>
    <w:p>
      <w:pPr>
        <w:spacing w:after="120" w:line="324" w:lineRule="auto"/>
        <w:jc w:val="both"/>
      </w:pPr>
      <w:r>
        <w:rPr>
          <w:rFonts w:ascii="Times New Roman" w:hAnsi="Times New Roman"/>
        </w:rPr>
        <w:t>• Annexure-14: Copies of installation certificates, delivery challans and photographs of the impugned equipment installed at the business premises / data-centre location of the Assessee.</w:t>
      </w:r>
    </w:p>
    <w:p>
      <w:pPr>
        <w:spacing w:after="120" w:line="324" w:lineRule="auto"/>
        <w:jc w:val="both"/>
      </w:pPr>
      <w:r>
        <w:rPr>
          <w:rFonts w:ascii="Times New Roman" w:hAnsi="Times New Roman"/>
        </w:rPr>
        <w:t>• Annexure-15: Copy of electricity connection details / commercial electricity bills evidencing consumption of power for operation of the said equipment in the course of business.</w:t>
      </w:r>
    </w:p>
    <w:p>
      <w:pPr>
        <w:spacing w:after="80" w:line="276" w:lineRule="auto"/>
        <w:jc w:val="center"/>
      </w:pPr>
      <w:r>
        <w:rPr>
          <w:rFonts w:ascii="Times New Roman" w:hAnsi="Times New Roman"/>
          <w:b/>
          <w:sz w:val="24"/>
        </w:rPr>
        <w:t>• Annexure-16: Copy of the Letter of Authorisation dated ______ in favour of the Authorised Representative empowered to appear, plead and make submissions on behalf of the Assessee before the Learned Proper Officer.</w:t>
      </w:r>
    </w:p>
    <w:p>
      <w:pPr>
        <w:spacing w:after="120" w:line="324" w:lineRule="auto"/>
        <w:jc w:val="both"/>
      </w:pPr>
      <w:r>
        <w:rPr>
          <w:rFonts w:ascii="Times New Roman" w:hAnsi="Times New Roman"/>
        </w:rPr>
        <w:t>• Annexure-17: Compilation of relevant statutory provisions, viz., Sections 2(17), 16, 17, 73, 74 and 75(4) of the CGST Act, 2017 read with Rule 99 of the CGST Rules, 2017.</w:t>
      </w:r>
    </w:p>
    <w:p>
      <w:pPr>
        <w:spacing w:after="120" w:line="324" w:lineRule="auto"/>
        <w:jc w:val="both"/>
      </w:pPr>
      <w:r>
        <w:rPr>
          <w:rFonts w:ascii="Times New Roman" w:hAnsi="Times New Roman"/>
        </w:rPr>
        <w:t>• Annexure-18: Compilation of relied-upon CBIC Circulars, viz., Circular No. 172/04/2022-GST dated 06.07.2022 and Circular No. 183/15/2022-GST dated 27.12.2022.</w:t>
      </w:r>
    </w:p>
    <w:p>
      <w:pPr>
        <w:spacing w:after="120" w:line="324" w:lineRule="auto"/>
        <w:jc w:val="both"/>
      </w:pPr>
      <w:r>
        <w:rPr>
          <w:rFonts w:ascii="Times New Roman" w:hAnsi="Times New Roman"/>
        </w:rPr>
        <w:t>• Annexure-19: Compilation of relied-upon judicial pronouncements, including:</w:t>
      </w:r>
    </w:p>
    <w:p>
      <w:pPr>
        <w:spacing w:after="120" w:line="324" w:lineRule="auto"/>
        <w:jc w:val="both"/>
      </w:pPr>
      <w:r>
        <w:rPr>
          <w:rFonts w:ascii="Times New Roman" w:hAnsi="Times New Roman"/>
          <w:b/>
        </w:rPr>
        <w:t xml:space="preserve">(i) </w:t>
      </w:r>
      <w:r>
        <w:rPr>
          <w:rFonts w:ascii="Times New Roman" w:hAnsi="Times New Roman"/>
        </w:rPr>
        <w:t>Pushpam Pharmaceuticals Co. v. Collector of Central Excise, 1995 (78) ELT 401 (SC);</w:t>
      </w:r>
    </w:p>
    <w:p>
      <w:pPr>
        <w:spacing w:after="120" w:line="324" w:lineRule="auto"/>
        <w:jc w:val="both"/>
      </w:pPr>
      <w:r>
        <w:rPr>
          <w:rFonts w:ascii="Times New Roman" w:hAnsi="Times New Roman"/>
          <w:b/>
        </w:rPr>
        <w:t xml:space="preserve">(ii) </w:t>
      </w:r>
      <w:r>
        <w:rPr>
          <w:rFonts w:ascii="Times New Roman" w:hAnsi="Times New Roman"/>
        </w:rPr>
        <w:t>Collector of Central Excise v. Chemphar Drugs and Liniments, 1989 (40) ELT 276 (SC);</w:t>
      </w:r>
    </w:p>
    <w:p>
      <w:pPr>
        <w:spacing w:after="120" w:line="324" w:lineRule="auto"/>
        <w:jc w:val="both"/>
      </w:pPr>
      <w:r>
        <w:rPr>
          <w:rFonts w:ascii="Times New Roman" w:hAnsi="Times New Roman"/>
          <w:b/>
        </w:rPr>
        <w:t xml:space="preserve">(iii) </w:t>
      </w:r>
      <w:r>
        <w:rPr>
          <w:rFonts w:ascii="Times New Roman" w:hAnsi="Times New Roman"/>
        </w:rPr>
        <w:t>State of Andhra Pradesh v. Larsen &amp; Toubro Ltd., (2008) 9 SCC 191;</w:t>
      </w:r>
    </w:p>
    <w:p>
      <w:pPr>
        <w:spacing w:after="120" w:line="324" w:lineRule="auto"/>
        <w:jc w:val="both"/>
      </w:pPr>
      <w:r>
        <w:rPr>
          <w:rFonts w:ascii="Times New Roman" w:hAnsi="Times New Roman"/>
          <w:b/>
        </w:rPr>
        <w:t xml:space="preserve">(iv) </w:t>
      </w:r>
      <w:r>
        <w:rPr>
          <w:rFonts w:ascii="Times New Roman" w:hAnsi="Times New Roman"/>
        </w:rPr>
        <w:t>Union of India v. Bharti Airtel Ltd., (2022) 4 SCC 328;</w:t>
      </w:r>
    </w:p>
    <w:p>
      <w:pPr>
        <w:spacing w:after="120" w:line="324" w:lineRule="auto"/>
        <w:jc w:val="both"/>
      </w:pPr>
      <w:r>
        <w:rPr>
          <w:rFonts w:ascii="Times New Roman" w:hAnsi="Times New Roman"/>
          <w:b/>
        </w:rPr>
        <w:t xml:space="preserve">(v) </w:t>
      </w:r>
      <w:r>
        <w:rPr>
          <w:rFonts w:ascii="Times New Roman" w:hAnsi="Times New Roman"/>
        </w:rPr>
        <w:t>Suncraft Energy Pvt. Ltd. v. Assistant Commissioner, State Tax [Calcutta High Court].</w:t>
      </w:r>
    </w:p>
    <w:p>
      <w:pPr>
        <w:spacing w:after="120" w:line="324" w:lineRule="auto"/>
        <w:jc w:val="both"/>
      </w:pPr>
      <w:r>
        <w:rPr>
          <w:rFonts w:ascii="Times New Roman" w:hAnsi="Times New Roman"/>
        </w:rPr>
        <w:t>Filed by:</w:t>
      </w:r>
    </w:p>
    <w:p>
      <w:pPr>
        <w:spacing w:after="120" w:line="324" w:lineRule="auto"/>
        <w:jc w:val="both"/>
      </w:pPr>
      <w:r>
        <w:rPr>
          <w:rFonts w:ascii="Times New Roman" w:hAnsi="Times New Roman"/>
        </w:rPr>
        <w:t>(Authorised Representative / GST Advocate)</w:t>
      </w:r>
    </w:p>
    <w:p>
      <w:pPr>
        <w:spacing w:after="120" w:line="324" w:lineRule="auto"/>
        <w:jc w:val="both"/>
      </w:pPr>
      <w:r>
        <w:rPr>
          <w:rFonts w:ascii="Times New Roman" w:hAnsi="Times New Roman"/>
        </w:rPr>
        <w:t>Enrolment No.: __________</w:t>
      </w:r>
    </w:p>
    <w:p>
      <w:pPr>
        <w:spacing w:after="120" w:line="324" w:lineRule="auto"/>
        <w:jc w:val="both"/>
      </w:pPr>
      <w:r>
        <w:rPr>
          <w:rFonts w:ascii="Times New Roman" w:hAnsi="Times New Roman"/>
        </w:rPr>
        <w:t>For and on behalf of: M/s Acme Industries Private Limited</w:t>
      </w:r>
    </w:p>
    <w:p>
      <w:pPr>
        <w:spacing w:after="120" w:line="324" w:lineRule="auto"/>
        <w:jc w:val="both"/>
      </w:pPr>
      <w:r>
        <w:rPr>
          <w:rFonts w:ascii="Times New Roman" w:hAnsi="Times New Roman"/>
        </w:rPr>
        <w:t>Address for service of notices: 142, Nariman Point, Mumbai – 400021</w:t>
      </w:r>
    </w:p>
    <w:p>
      <w:pPr>
        <w:spacing w:after="120" w:line="324" w:lineRule="auto"/>
        <w:jc w:val="both"/>
      </w:pPr>
      <w:r>
        <w:rPr>
          <w:rFonts w:ascii="Times New Roman" w:hAnsi="Times New Roman"/>
        </w:rPr>
        <w:t>Email: ____________________</w:t>
      </w:r>
    </w:p>
    <w:p>
      <w:pPr>
        <w:spacing w:after="120" w:line="324" w:lineRule="auto"/>
        <w:jc w:val="both"/>
      </w:pPr>
      <w:r>
        <w:rPr>
          <w:rFonts w:ascii="Times New Roman" w:hAnsi="Times New Roman"/>
        </w:rPr>
        <w:t>Mobile: ____________________</w:t>
      </w:r>
    </w:p>
    <w:p>
      <w:pPr>
        <w:spacing w:after="120" w:line="324" w:lineRule="auto"/>
        <w:jc w:val="both"/>
      </w:pPr>
      <w:r>
        <w:rPr>
          <w:rFonts w:ascii="Times New Roman" w:hAnsi="Times New Roman"/>
        </w:rPr>
        <w:t>Place: Mumbai</w:t>
      </w:r>
    </w:p>
    <w:p>
      <w:pPr>
        <w:spacing w:after="120" w:line="324" w:lineRule="auto"/>
        <w:jc w:val="both"/>
      </w:pPr>
      <w:r>
        <w:rPr>
          <w:rFonts w:ascii="Times New Roman" w:hAnsi="Times New Roman"/>
        </w:rPr>
        <w:t>Date: __________, October 2026</w:t>
      </w:r>
    </w:p>
    <w:p>
      <w:pPr>
        <w:spacing w:after="120" w:line="324" w:lineRule="auto"/>
        <w:jc w:val="both"/>
      </w:pPr>
      <w:r>
        <w:rPr>
          <w:rFonts w:ascii="Times New Roman" w:hAnsi="Times New Roman"/>
        </w:rPr>
        <w:t>Copy submitted to:</w:t>
      </w:r>
    </w:p>
    <w:p>
      <w:pPr>
        <w:spacing w:after="120" w:line="324" w:lineRule="auto"/>
        <w:jc w:val="both"/>
      </w:pPr>
      <w:r>
        <w:rPr>
          <w:rFonts w:ascii="Times New Roman" w:hAnsi="Times New Roman"/>
          <w:b/>
        </w:rPr>
        <w:t xml:space="preserve">1. </w:t>
      </w:r>
      <w:r>
        <w:rPr>
          <w:rFonts w:ascii="Times New Roman" w:hAnsi="Times New Roman"/>
        </w:rPr>
        <w:t>The Superintendent of Central Tax, Ward 42, Mumbai Zone – for kind consideration and appropriate orders.</w:t>
      </w:r>
    </w:p>
    <w:p>
      <w:pPr>
        <w:spacing w:after="120" w:line="324" w:lineRule="auto"/>
        <w:jc w:val="both"/>
      </w:pPr>
      <w:r>
        <w:rPr>
          <w:rFonts w:ascii="Times New Roman" w:hAnsi="Times New Roman"/>
          <w:b/>
        </w:rPr>
        <w:t xml:space="preserve">2. </w:t>
      </w:r>
      <w:r>
        <w:rPr>
          <w:rFonts w:ascii="Times New Roman" w:hAnsi="Times New Roman"/>
        </w:rPr>
        <w:t>Office copy retained by the Assessee for 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