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324" w:lineRule="auto"/>
        <w:jc w:val="both"/>
      </w:pPr>
      <w:r>
        <w:rPr>
          <w:rFonts w:ascii="Times New Roman" w:hAnsi="Times New Roman"/>
        </w:rPr>
        <w:t>FORM GST ASMT-11</w:t>
      </w:r>
    </w:p>
    <w:p>
      <w:pPr>
        <w:spacing w:after="120" w:line="324" w:lineRule="auto"/>
        <w:jc w:val="both"/>
      </w:pPr>
      <w:r>
        <w:rPr>
          <w:rFonts w:ascii="Times New Roman" w:hAnsi="Times New Roman"/>
        </w:rPr>
        <w:t>[See Rule 68 read with Rule 99(2) of the CGST Rules, 2017]</w:t>
      </w:r>
    </w:p>
    <w:p/>
    <w:p>
      <w:pPr>
        <w:spacing w:before="160" w:after="240"/>
        <w:jc w:val="center"/>
      </w:pPr>
      <w:r>
        <w:rPr>
          <w:rFonts w:ascii="Times New Roman" w:hAnsi="Times New Roman"/>
          <w:b/>
          <w:sz w:val="26"/>
          <w:u w:val="single"/>
        </w:rPr>
        <w:t>REPLY TO NOTICE FOR INTIMATING DISCREPANCIES IN THE RETURN AFTER SCRUTINY</w:t>
      </w:r>
    </w:p>
    <w:p/>
    <w:p>
      <w:pPr>
        <w:spacing w:after="120" w:line="324" w:lineRule="auto"/>
        <w:jc w:val="both"/>
      </w:pPr>
      <w:r>
        <w:rPr>
          <w:rFonts w:ascii="Times New Roman" w:hAnsi="Times New Roman"/>
        </w:rPr>
        <w:t>To,</w:t>
      </w:r>
    </w:p>
    <w:p>
      <w:pPr>
        <w:spacing w:after="120" w:line="324" w:lineRule="auto"/>
        <w:jc w:val="both"/>
      </w:pPr>
      <w:r>
        <w:rPr>
          <w:rFonts w:ascii="Times New Roman" w:hAnsi="Times New Roman"/>
        </w:rPr>
        <w:t>The Superintendent of Central Tax,</w:t>
      </w:r>
    </w:p>
    <w:p>
      <w:pPr>
        <w:spacing w:after="120" w:line="324" w:lineRule="auto"/>
        <w:jc w:val="both"/>
      </w:pPr>
      <w:r>
        <w:rPr>
          <w:rFonts w:ascii="Times New Roman" w:hAnsi="Times New Roman"/>
        </w:rPr>
        <w:t>Ward 42, Mumbai Zone,</w:t>
      </w:r>
    </w:p>
    <w:p>
      <w:pPr>
        <w:spacing w:after="120" w:line="324" w:lineRule="auto"/>
        <w:jc w:val="both"/>
      </w:pPr>
      <w:r>
        <w:rPr>
          <w:rFonts w:ascii="Times New Roman" w:hAnsi="Times New Roman"/>
        </w:rPr>
        <w:t>Central Board of Indirect Taxes and Customs,</w:t>
      </w:r>
    </w:p>
    <w:p>
      <w:pPr>
        <w:spacing w:after="120" w:line="324" w:lineRule="auto"/>
        <w:jc w:val="both"/>
      </w:pPr>
      <w:r>
        <w:rPr>
          <w:rFonts w:ascii="Times New Roman" w:hAnsi="Times New Roman"/>
        </w:rPr>
        <w:t>Department of Revenue, Government of India,</w:t>
      </w:r>
    </w:p>
    <w:p>
      <w:pPr>
        <w:spacing w:after="120" w:line="324" w:lineRule="auto"/>
        <w:jc w:val="both"/>
      </w:pPr>
      <w:r>
        <w:rPr>
          <w:rFonts w:ascii="Times New Roman" w:hAnsi="Times New Roman"/>
        </w:rPr>
        <w:t>Mumbai, Maharashtra.</w:t>
      </w:r>
    </w:p>
    <w:p>
      <w:pPr>
        <w:spacing w:after="120" w:line="324" w:lineRule="auto"/>
        <w:jc w:val="both"/>
      </w:pPr>
      <w:r>
        <w:rPr>
          <w:rFonts w:ascii="Times New Roman" w:hAnsi="Times New Roman"/>
        </w:rPr>
        <w:t>Reference: Notice in Form GST ASMT-10 dated 15-Oct-2026</w:t>
      </w:r>
    </w:p>
    <w:p>
      <w:pPr>
        <w:spacing w:after="120" w:line="324" w:lineRule="auto"/>
        <w:jc w:val="both"/>
      </w:pPr>
      <w:r>
        <w:rPr>
          <w:rFonts w:ascii="Times New Roman" w:hAnsi="Times New Roman"/>
        </w:rPr>
        <w:t>GSTIN: 27AAACA9876B1Z5</w:t>
      </w:r>
    </w:p>
    <w:p>
      <w:pPr>
        <w:spacing w:after="120" w:line="324" w:lineRule="auto"/>
        <w:jc w:val="both"/>
      </w:pPr>
      <w:r>
        <w:rPr>
          <w:rFonts w:ascii="Times New Roman" w:hAnsi="Times New Roman"/>
        </w:rPr>
        <w:t>Financial Year: 2024-25</w:t>
      </w:r>
    </w:p>
    <w:p>
      <w:pPr>
        <w:spacing w:after="120" w:line="324" w:lineRule="auto"/>
        <w:jc w:val="both"/>
      </w:pPr>
      <w:r>
        <w:rPr>
          <w:rFonts w:ascii="Times New Roman" w:hAnsi="Times New Roman"/>
        </w:rPr>
        <w:t>Tax Period: April 2024 to March 2025</w:t>
      </w:r>
    </w:p>
    <w:p>
      <w:pPr>
        <w:spacing w:after="120" w:line="324" w:lineRule="auto"/>
        <w:jc w:val="both"/>
      </w:pPr>
      <w:r>
        <w:rPr>
          <w:rFonts w:ascii="Times New Roman" w:hAnsi="Times New Roman"/>
        </w:rPr>
        <w:t>IN THE MATTER OF:</w:t>
      </w:r>
    </w:p>
    <w:p>
      <w:pPr>
        <w:spacing w:after="120" w:line="324" w:lineRule="auto"/>
        <w:jc w:val="both"/>
      </w:pPr>
      <w:r>
        <w:rPr>
          <w:rFonts w:ascii="Times New Roman" w:hAnsi="Times New Roman"/>
        </w:rPr>
        <w:t>Acme Industries Private Limited,</w:t>
      </w:r>
    </w:p>
    <w:p>
      <w:pPr>
        <w:spacing w:after="120" w:line="324" w:lineRule="auto"/>
        <w:jc w:val="both"/>
      </w:pPr>
      <w:r>
        <w:rPr>
          <w:rFonts w:ascii="Times New Roman" w:hAnsi="Times New Roman"/>
        </w:rPr>
        <w:t>having its registered office at 142, Nariman Point, Mumbai, Maharashtra – 400021,</w:t>
      </w:r>
    </w:p>
    <w:p>
      <w:pPr>
        <w:spacing w:after="120" w:line="324" w:lineRule="auto"/>
        <w:jc w:val="both"/>
      </w:pPr>
      <w:r>
        <w:rPr>
          <w:rFonts w:ascii="Times New Roman" w:hAnsi="Times New Roman"/>
        </w:rPr>
        <w:t>bearing GSTIN 27AAACA9876B1Z5 ...................................................................... NOTICEE/REPLYING PARTY</w:t>
      </w:r>
    </w:p>
    <w:p>
      <w:pPr>
        <w:spacing w:before="240" w:after="200"/>
        <w:jc w:val="left"/>
      </w:pPr>
      <w:r>
        <w:rPr>
          <w:rFonts w:ascii="Times New Roman" w:hAnsi="Times New Roman"/>
          <w:b/>
          <w:sz w:val="24"/>
        </w:rPr>
        <w:t>MOST RESPECTFULLY SHOWETH:</w:t>
      </w:r>
    </w:p>
    <w:p>
      <w:pPr>
        <w:spacing w:after="120" w:line="324" w:lineRule="auto"/>
        <w:jc w:val="both"/>
      </w:pPr>
      <w:r>
        <w:rPr>
          <w:rFonts w:ascii="Times New Roman" w:hAnsi="Times New Roman"/>
          <w:b/>
        </w:rPr>
        <w:t xml:space="preserve">1. </w:t>
      </w:r>
      <w:r>
        <w:rPr>
          <w:rFonts w:ascii="Times New Roman" w:hAnsi="Times New Roman"/>
        </w:rPr>
        <w:t>That the Noticee is a private limited company duly registered under the Central Goods and Services Tax Act, 2017 ("CGST Act") and the Maharashtra Goods and Services Tax Act, 2017 ("MGST Act"), engaged, inter alia, in the business of rendering Chartered Accountancy and allied professional/consultancy services under SAC 99822, and is a regular filer of returns under the said enactments.</w:t>
      </w:r>
    </w:p>
    <w:p>
      <w:pPr>
        <w:spacing w:after="120" w:line="324" w:lineRule="auto"/>
        <w:jc w:val="both"/>
      </w:pPr>
      <w:r>
        <w:rPr>
          <w:rFonts w:ascii="Times New Roman" w:hAnsi="Times New Roman"/>
          <w:b/>
        </w:rPr>
        <w:t xml:space="preserve">2. </w:t>
      </w:r>
      <w:r>
        <w:rPr>
          <w:rFonts w:ascii="Times New Roman" w:hAnsi="Times New Roman"/>
        </w:rPr>
        <w:t>That the Noticee has received the captioned Notice in Form GST ASMT-10 dated 15-Oct-2026 ("the Notice") issued under Rule 99(1) of the CGST Rules, 2017, alleging discrepancy in Input Tax Credit ("ITC") amounting to Rs. 45,50,000/- availed on procurement of Application-Specific Integrated Circuit (ASIC) Miners and allied high-capacity cooling equipment, on the ground that the said capital goods are unrelated to the registered business activity of the Noticee and are alleged to be used for mining of Virtual Digital Assets ("VDA"), which the Department contends does not constitute a taxable supply under the present registration.</w:t>
      </w:r>
    </w:p>
    <w:p>
      <w:pPr>
        <w:spacing w:after="120" w:line="324" w:lineRule="auto"/>
        <w:jc w:val="both"/>
      </w:pPr>
      <w:r>
        <w:rPr>
          <w:rFonts w:ascii="Times New Roman" w:hAnsi="Times New Roman"/>
          <w:b/>
        </w:rPr>
        <w:t xml:space="preserve">3. </w:t>
      </w:r>
      <w:r>
        <w:rPr>
          <w:rFonts w:ascii="Times New Roman" w:hAnsi="Times New Roman"/>
        </w:rPr>
        <w:t>That the Noticee submits this reply within the time prescribed, i.e., on or before 30-Oct-2026, and craves leave to place on record the following factual and legal submissions in refutation of the discrepancy alleged, without prejudice to one another.</w:t>
      </w:r>
    </w:p>
    <w:p>
      <w:pPr>
        <w:spacing w:after="120" w:line="324" w:lineRule="auto"/>
        <w:jc w:val="both"/>
      </w:pPr>
      <w:r>
        <w:rPr>
          <w:rFonts w:ascii="Times New Roman" w:hAnsi="Times New Roman"/>
        </w:rPr>
        <w:t>GROUND A: THE ITC HAS BEEN CORRECTLY AVAILED IN TERMS OF SECTION 16(1) OF THE CGST ACT, 2017 AND IS DULY SUBSTANTIATED BY CONTEMPORANEOUS DOCUMENTARY EVIDENCE</w:t>
      </w:r>
    </w:p>
    <w:p>
      <w:pPr>
        <w:spacing w:after="120" w:line="324" w:lineRule="auto"/>
        <w:jc w:val="both"/>
      </w:pPr>
      <w:r>
        <w:rPr>
          <w:rFonts w:ascii="Times New Roman" w:hAnsi="Times New Roman"/>
        </w:rPr>
        <w:t>3.1 At the outset, it is submitted that Section 16(1) of the CGST Act, 2017 entitles every registered person to take credit of input tax charged on any supply of goods or services which is used or intended to be used "in the course or furtherance of business." The expression "business" is defined in an inclusive and expansive manner under Section 2(17) of the CGST Act and specifically includes, under clause (a), "any trade, commerce, manufacture, profession, vocation, adventure, wager or any other similar activity, whether or not it is for a pecuniary benefit." The definition is not confined to the activity declared at the time of obtaining registration and is wide enough to cover any commercial venture undertaken by the registered person, including diversification into new lines of activity.</w:t>
      </w:r>
    </w:p>
    <w:p>
      <w:pPr>
        <w:spacing w:after="120" w:line="324" w:lineRule="auto"/>
        <w:jc w:val="both"/>
      </w:pPr>
      <w:r>
        <w:rPr>
          <w:rFonts w:ascii="Times New Roman" w:hAnsi="Times New Roman"/>
        </w:rPr>
        <w:t>3.2 It is respectfully submitted that the Noticee's Board of Directors, vide Resolution dated 02-April-2024 (Annexure-A), duly approved diversification of business activities to include trading/supply of computing and data-processing services utilizing high-performance computing infrastructure, which includes the ASIC miners in question. The said equipment has been capitalized in the books of account as "Plant &amp; Machinery" and reflected in the Fixed Asset Register (Annexure-B) and Financial Statements for FY 2024-25 (Annexure-C).</w:t>
      </w:r>
    </w:p>
    <w:p>
      <w:pPr>
        <w:spacing w:after="120" w:line="324" w:lineRule="auto"/>
        <w:jc w:val="both"/>
      </w:pPr>
      <w:r>
        <w:rPr>
          <w:rFonts w:ascii="Times New Roman" w:hAnsi="Times New Roman"/>
        </w:rPr>
        <w:t>3.3 It is further submitted that mere non-amendment of the "principal place of business" description or SAC code at the time of the Notice does not, ipso facto, disentitle the registered person from claiming ITC on capital goods procured for a bona fide business expansion. Rule 19 of the CGST Rules, 2017 read with Form GST REG-14 merely casts a procedural obligation to amend registration particulars; failure to amend the same, if any, is a procedural lapse and cannot be treated as a substantive bar to ITC, more so when the amendment application (ARN: AA2710240012345) was already filed by the Noticee on 10-April-2024 seeking addition of SAC 998319 ("Other information technology services") and 997331 ("Licensing services for right to use computer software"), true copy whereof is annexed as Annexure-D.</w:t>
      </w:r>
    </w:p>
    <w:p>
      <w:pPr>
        <w:spacing w:after="120" w:line="324" w:lineRule="auto"/>
        <w:jc w:val="both"/>
      </w:pPr>
      <w:r>
        <w:rPr>
          <w:rFonts w:ascii="Times New Roman" w:hAnsi="Times New Roman"/>
        </w:rPr>
        <w:t>3.4 Without prejudice to the above, it is submitted that the output of the ASIC mining infrastructure has been supplied by the Noticee to third parties as a taxable "computing/hosting service," and not as a transaction "in" cryptocurrency or VDA per se. Tax invoices raised by the Noticee for such computing/hash-rate hosting services, on which applicable output GST at 18% has been duly discharged, are enclosed as Annexure-E. It is a settled principle, reiterated by the Hon'ble Supreme Court in Escorts Ltd. v. CCE and consistently followed in GST jurisprudence, that credit cannot be denied merely because the immediate use of the capital good has an indirect or ancillary nexus with a subsequently created taxable output, so long as the nexus with business is demonstrable.</w:t>
      </w:r>
    </w:p>
    <w:p>
      <w:pPr>
        <w:spacing w:after="120" w:line="324" w:lineRule="auto"/>
        <w:jc w:val="both"/>
      </w:pPr>
      <w:r>
        <w:rPr>
          <w:rFonts w:ascii="Times New Roman" w:hAnsi="Times New Roman"/>
        </w:rPr>
        <w:t>3.5 It is respectfully submitted that CBIC Circular No. 172/04/2022-GST dated 06-July-2022 clarifies that ITC eligibility is to be examined on the touchstone of Sections 16 and 17 read together, and that blocked credit under Section 17(5) does not extend to capital goods of the present nature. The equipment in question does not fall within any of the specifically blocked categories enumerated under Section 17(5) of the CGST Act.</w:t>
      </w:r>
    </w:p>
    <w:p>
      <w:pPr>
        <w:spacing w:after="120" w:line="324" w:lineRule="auto"/>
        <w:jc w:val="both"/>
      </w:pPr>
      <w:r>
        <w:rPr>
          <w:rFonts w:ascii="Times New Roman" w:hAnsi="Times New Roman"/>
        </w:rPr>
        <w:t>3.6 It is further submitted that the presumption drawn in the Notice — that the equipment is meant exclusively for "mining or trading in VDA" — is factually incorrect and is based on surmise rather than any tangible evidence gathered by the Department. The Noticee has neither undertaken sale/purchase of any VDA nor has it treated any VDA as its stock-in-trade; the entire activity is restricted to rendition of a computing/hosting service to clients on a fee basis, which is unambiguously a "supply of service" liable to GST under Section 7 of the CGST Act, and on which output tax has already been discharged, as evidenced in Annexure-E and the corresponding GSTR-3B/GSTR-1 filings (Annexure-F).</w:t>
      </w:r>
    </w:p>
    <w:p>
      <w:pPr>
        <w:spacing w:after="120" w:line="324" w:lineRule="auto"/>
        <w:jc w:val="both"/>
      </w:pPr>
      <w:r>
        <w:rPr>
          <w:rFonts w:ascii="Times New Roman" w:hAnsi="Times New Roman"/>
        </w:rPr>
        <w:t>3.7 In these circumstances, the twin conditions of Section 16(1) and 16(2) — namely, receipt of goods, possession of a valid tax invoice, payment of consideration together with tax thereon, and use in the course or furtherance of business — stand fully satisfied, and the ITC of Rs. 45,50,000/- has been validly availed.</w:t>
      </w:r>
    </w:p>
    <w:p>
      <w:pPr>
        <w:spacing w:after="120" w:line="324" w:lineRule="auto"/>
        <w:jc w:val="both"/>
      </w:pPr>
      <w:r>
        <w:rPr>
          <w:rFonts w:ascii="Times New Roman" w:hAnsi="Times New Roman"/>
        </w:rPr>
        <w:t>GROUND B: THE NOTICE IS PROCEDURALLY PREMATURE AND VIOLATES THE MANDATORY SEQUENCE PRESCRIBED UNDER SECTION 61 READ WITH SECTIONS 73/74 AND 75(4) OF THE CGST ACT</w:t>
      </w:r>
    </w:p>
    <w:p>
      <w:pPr>
        <w:spacing w:after="120" w:line="324" w:lineRule="auto"/>
        <w:jc w:val="both"/>
      </w:pPr>
      <w:r>
        <w:rPr>
          <w:rFonts w:ascii="Times New Roman" w:hAnsi="Times New Roman"/>
        </w:rPr>
        <w:t>3.8 It is submitted that the present proceeding has been initiated in Form GST ASMT-10 under Rule 99(1), which is a scrutiny mechanism under Section 61 of the CGST Act intended solely to seek explanation of discrepancies noticed in returns. Sub-section (2) of Section 61 mandates that where the explanation furnished by the registered person is found acceptable, no further action shall be taken; it is only where no satisfactory explanation is furnished within thirty days, or where the registered person, after accepting the discrepancy, fails to take corrective measures, that the proper officer may initiate appropriate action, including proceedings under Section 65, 66, 67, or issuance of a show cause notice under Section 73 or 74.</w:t>
      </w:r>
    </w:p>
    <w:p>
      <w:pPr>
        <w:spacing w:after="120" w:line="324" w:lineRule="auto"/>
        <w:jc w:val="both"/>
      </w:pPr>
      <w:r>
        <w:rPr>
          <w:rFonts w:ascii="Times New Roman" w:hAnsi="Times New Roman"/>
        </w:rPr>
        <w:t>3.9 It is respectfully pointed out that the impugned Notice, while purporting to be one under Rule 68/Form ASMT-10, has proceeded to record conclusive findings of "contravention" of Section 16(1) and has directed the Noticee to "pay tax along with applicable interest and penalty under Section 73," without first considering the explanation now being tendered. Such an approach is contrary to the scheme of Section 61, which is fact-finding and non-adjudicatory in nature, and any invocation of penal consequences at this preliminary stage, without a proper Show Cause Notice under Section 73(1)/74(1) specifying the amount of tax, interest and penalty, and without affording an opportunity of personal hearing as mandated under Section 75(4) of the CGST Act, would be premature, arbitrary, and violative of the principles of natural justice.</w:t>
      </w:r>
    </w:p>
    <w:p>
      <w:pPr>
        <w:spacing w:after="120" w:line="324" w:lineRule="auto"/>
        <w:jc w:val="both"/>
      </w:pPr>
      <w:r>
        <w:rPr>
          <w:rFonts w:ascii="Times New Roman" w:hAnsi="Times New Roman"/>
        </w:rPr>
        <w:t>3.10 It is a settled position, as held by various High Courts (including the Hon'ble Bombay High Court and Hon'ble Delhi High Court in matters concerning Rule 142(1A)/ASMT-10 proceedings), that scrutiny notices cannot be treated as a substitute for a properly issued Show Cause Notice, and that recovery or demand cannot be fastened merely on the basis of an ASMT-10 intimation without following the due adjudicatory process under Section 73 or 74, including mandatory pre-show cause consultation where applicable, and personal hearing under Section 75(4), which applies irrespective of whether a request for hearing has been made, where an adverse decision is contemplated.</w:t>
      </w:r>
    </w:p>
    <w:p>
      <w:pPr>
        <w:spacing w:after="120" w:line="324" w:lineRule="auto"/>
        <w:jc w:val="both"/>
      </w:pPr>
      <w:r>
        <w:rPr>
          <w:rFonts w:ascii="Times New Roman" w:hAnsi="Times New Roman"/>
        </w:rPr>
        <w:t>3.11 It is therefore submitted that, in the absence of any independent, cogent, corroborative evidence establishing actual trading or dealing in VDA, or any wilful suppression/misstatement, invocation of extended period or penal provisions under Section 74 would be wholly unwarranted; and even a proceeding under Section 73 ought to abate upon acceptance of the explanation furnished herein, in terms of Section 61(2) of the CGST Act.</w:t>
      </w:r>
    </w:p>
    <w:p>
      <w:pPr>
        <w:spacing w:after="120" w:line="324" w:lineRule="auto"/>
        <w:jc w:val="both"/>
      </w:pPr>
      <w:r>
        <w:rPr>
          <w:rFonts w:ascii="Times New Roman" w:hAnsi="Times New Roman"/>
          <w:b/>
        </w:rPr>
        <w:t xml:space="preserve">4. </w:t>
      </w:r>
      <w:r>
        <w:rPr>
          <w:rFonts w:ascii="Times New Roman" w:hAnsi="Times New Roman"/>
        </w:rPr>
        <w:t>That the Noticee reiterates that the discrepancy alleged in the Notice stands satisfactorily explained on facts and in law, and no case for confirmation of demand, interest, or penalty is made out.</w:t>
      </w:r>
    </w:p>
    <w:p>
      <w:pPr>
        <w:spacing w:before="280" w:after="120"/>
        <w:jc w:val="left"/>
      </w:pPr>
      <w:r>
        <w:rPr>
          <w:rFonts w:ascii="Times New Roman" w:hAnsi="Times New Roman"/>
          <w:b/>
          <w:sz w:val="24"/>
          <w:u w:val="single"/>
        </w:rPr>
        <w:t>PRAYER</w:t>
      </w:r>
    </w:p>
    <w:p>
      <w:pPr>
        <w:spacing w:after="120" w:line="324" w:lineRule="auto"/>
        <w:jc w:val="both"/>
      </w:pPr>
      <w:r>
        <w:rPr>
          <w:rFonts w:ascii="Times New Roman" w:hAnsi="Times New Roman"/>
        </w:rPr>
        <w:t>In view of the facts and legal submissions set out above, the Noticee most respectfully prays that this Hon'ble Authority may graciously be pleased to:</w:t>
      </w:r>
    </w:p>
    <w:p>
      <w:pPr>
        <w:spacing w:after="120" w:line="324" w:lineRule="auto"/>
        <w:jc w:val="both"/>
      </w:pPr>
      <w:r>
        <w:rPr>
          <w:rFonts w:ascii="Times New Roman" w:hAnsi="Times New Roman"/>
        </w:rPr>
        <w:t>a) Accept the explanation furnished herein as satisfactory in terms of Section 61(2) of the CGST Act, 2017 and drop the discrepancy proceedings initiated vide Form GST ASMT-10 dated 15-Oct-2026 in its entirety;</w:t>
      </w:r>
    </w:p>
    <w:p>
      <w:pPr>
        <w:spacing w:after="120" w:line="324" w:lineRule="auto"/>
        <w:jc w:val="both"/>
      </w:pPr>
      <w:r>
        <w:rPr>
          <w:rFonts w:ascii="Times New Roman" w:hAnsi="Times New Roman"/>
        </w:rPr>
        <w:t>b) Hold that the Input Tax Credit of Rs. 45,50,000/- availed on ASIC Miners and allied cooling equipment has been validly claimed in terms of Section 16(1) and 16(2) of the CGST Act, 2017, and is not liable to be reversed;</w:t>
      </w:r>
    </w:p>
    <w:p>
      <w:pPr>
        <w:spacing w:after="120" w:line="324" w:lineRule="auto"/>
        <w:jc w:val="both"/>
      </w:pPr>
      <w:r>
        <w:rPr>
          <w:rFonts w:ascii="Times New Roman" w:hAnsi="Times New Roman"/>
        </w:rPr>
        <w:t>c) Refrain from issuing any Show Cause Notice under Section 73 or Section 74 of the CGST Act, 2017 on the subject matter, in the absence of any independent tangible evidence of contravention;</w:t>
      </w:r>
    </w:p>
    <w:p>
      <w:pPr>
        <w:spacing w:after="120" w:line="324" w:lineRule="auto"/>
        <w:jc w:val="both"/>
      </w:pPr>
      <w:r>
        <w:rPr>
          <w:rFonts w:ascii="Times New Roman" w:hAnsi="Times New Roman"/>
        </w:rPr>
        <w:t>d) In the alternative, and without prejudice, in the event this Hon'ble Authority is not inclined to drop the proceedings, grant the Noticee an opportunity of personal hearing under Section 75(4) of the CGST Act, 2017 before passing any adverse order;</w:t>
      </w:r>
    </w:p>
    <w:p>
      <w:pPr>
        <w:spacing w:after="120" w:line="324" w:lineRule="auto"/>
        <w:jc w:val="both"/>
      </w:pPr>
      <w:r>
        <w:rPr>
          <w:rFonts w:ascii="Times New Roman" w:hAnsi="Times New Roman"/>
        </w:rPr>
        <w:t>e)e) Furnish to the Noticee copies of any documents, reports, or material relied upon by the Department while forming the belief recorded in the Notice, so as to enable the Noticee to submit a complete and effective response/rebuttal thereto, in consonance with the principles of natural justice;</w:t>
      </w:r>
    </w:p>
    <w:p>
      <w:pPr>
        <w:spacing w:after="120" w:line="324" w:lineRule="auto"/>
        <w:jc w:val="both"/>
      </w:pPr>
      <w:r>
        <w:rPr>
          <w:rFonts w:ascii="Times New Roman" w:hAnsi="Times New Roman"/>
        </w:rPr>
        <w:t>f) Grant the Noticee a reasonable further opportunity to place on record additional documents/clarifications, if any specific query or doubt survives after consideration of the present reply;</w:t>
      </w:r>
    </w:p>
    <w:p>
      <w:pPr>
        <w:spacing w:after="120" w:line="324" w:lineRule="auto"/>
        <w:jc w:val="both"/>
      </w:pPr>
      <w:r>
        <w:rPr>
          <w:rFonts w:ascii="Times New Roman" w:hAnsi="Times New Roman"/>
        </w:rPr>
        <w:t>g) Pass such other order(s), direction(s), or relief(s) as this Hon'ble Authority may deem fit and proper in the facts and circumstances of the case, in the interest of justice.</w:t>
      </w:r>
    </w:p>
    <w:p>
      <w:pPr>
        <w:spacing w:before="280" w:after="120"/>
        <w:jc w:val="left"/>
      </w:pPr>
      <w:r>
        <w:rPr>
          <w:rFonts w:ascii="Times New Roman" w:hAnsi="Times New Roman"/>
          <w:b/>
          <w:sz w:val="24"/>
          <w:u w:val="single"/>
        </w:rPr>
        <w:t>VERIFICATION</w:t>
      </w:r>
    </w:p>
    <w:p>
      <w:pPr>
        <w:spacing w:after="120" w:line="324" w:lineRule="auto"/>
        <w:jc w:val="both"/>
      </w:pPr>
      <w:r>
        <w:rPr>
          <w:rFonts w:ascii="Times New Roman" w:hAnsi="Times New Roman"/>
        </w:rPr>
        <w:t>I, _______________________, Son/Daughter of Shri _______________________, aged about ____ years, presently working as the Authorised Signatory/Director of M/s Acme Industries Private Limited, having its registered office at 142, Nariman Point, Mumbai, Maharashtra – 400021, do hereby solemnly affirm and state as under:</w:t>
      </w:r>
    </w:p>
    <w:p>
      <w:pPr>
        <w:spacing w:after="120" w:line="324" w:lineRule="auto"/>
        <w:jc w:val="both"/>
      </w:pPr>
      <w:r>
        <w:rPr>
          <w:rFonts w:ascii="Times New Roman" w:hAnsi="Times New Roman"/>
          <w:b/>
        </w:rPr>
        <w:t xml:space="preserve">1. </w:t>
      </w:r>
      <w:r>
        <w:rPr>
          <w:rFonts w:ascii="Times New Roman" w:hAnsi="Times New Roman"/>
        </w:rPr>
        <w:t>That I am duly authorised by the Board of Directors of the Noticee company, vide Board Resolution dated ___________, to sign, verify, and file the present reply on behalf of the company, and am competent and conversant with the facts of the case to do so.</w:t>
      </w:r>
    </w:p>
    <w:p>
      <w:pPr>
        <w:spacing w:after="120" w:line="324" w:lineRule="auto"/>
        <w:jc w:val="both"/>
      </w:pPr>
      <w:r>
        <w:rPr>
          <w:rFonts w:ascii="Times New Roman" w:hAnsi="Times New Roman"/>
          <w:b/>
        </w:rPr>
        <w:t xml:space="preserve">2. </w:t>
      </w:r>
      <w:r>
        <w:rPr>
          <w:rFonts w:ascii="Times New Roman" w:hAnsi="Times New Roman"/>
        </w:rPr>
        <w:t>That the contents of the foregoing reply, from paragraphs 1 to 4 along with the Prayer clause, have been drafted based on the records maintained by the Noticee in the ordinary course of business and on legal advice received, and the same are true and correct to the best of my knowledge, information, and belief, and nothing material has been concealed therefrom.</w:t>
      </w:r>
    </w:p>
    <w:p>
      <w:pPr>
        <w:spacing w:after="120" w:line="324" w:lineRule="auto"/>
        <w:jc w:val="both"/>
      </w:pPr>
      <w:r>
        <w:rPr>
          <w:rFonts w:ascii="Times New Roman" w:hAnsi="Times New Roman"/>
          <w:b/>
        </w:rPr>
        <w:t xml:space="preserve">3. </w:t>
      </w:r>
      <w:r>
        <w:rPr>
          <w:rFonts w:ascii="Times New Roman" w:hAnsi="Times New Roman"/>
        </w:rPr>
        <w:t>That the documents annexed hereto in support of the submissions made are true copies of the originals maintained in the records of the Noticee.</w:t>
      </w:r>
    </w:p>
    <w:p>
      <w:pPr>
        <w:spacing w:after="120" w:line="324" w:lineRule="auto"/>
        <w:jc w:val="both"/>
      </w:pPr>
      <w:r>
        <w:rPr>
          <w:rFonts w:ascii="Times New Roman" w:hAnsi="Times New Roman"/>
        </w:rPr>
        <w:t>Verified at Mumbai on this _____ day of October, 2026.</w:t>
      </w:r>
    </w:p>
    <w:p>
      <w:pPr>
        <w:spacing w:after="120" w:line="324" w:lineRule="auto"/>
        <w:jc w:val="both"/>
      </w:pPr>
      <w:r>
        <w:rPr>
          <w:rFonts w:ascii="Times New Roman" w:hAnsi="Times New Roman"/>
        </w:rPr>
        <w:t>(Signature)</w:t>
      </w:r>
    </w:p>
    <w:p>
      <w:pPr>
        <w:spacing w:after="120" w:line="324" w:lineRule="auto"/>
        <w:jc w:val="both"/>
      </w:pPr>
      <w:r>
        <w:rPr>
          <w:rFonts w:ascii="Times New Roman" w:hAnsi="Times New Roman"/>
        </w:rPr>
        <w:t>Name: _______________________</w:t>
      </w:r>
    </w:p>
    <w:p>
      <w:pPr>
        <w:spacing w:after="120" w:line="324" w:lineRule="auto"/>
        <w:jc w:val="both"/>
      </w:pPr>
      <w:r>
        <w:rPr>
          <w:rFonts w:ascii="Times New Roman" w:hAnsi="Times New Roman"/>
        </w:rPr>
        <w:t>Designation: Authorised Signatory/Director</w:t>
      </w:r>
    </w:p>
    <w:p>
      <w:pPr>
        <w:spacing w:after="120" w:line="324" w:lineRule="auto"/>
        <w:jc w:val="both"/>
      </w:pPr>
      <w:r>
        <w:rPr>
          <w:rFonts w:ascii="Times New Roman" w:hAnsi="Times New Roman"/>
        </w:rPr>
        <w:t>For: Acme Industries Private Limited</w:t>
      </w:r>
    </w:p>
    <w:p>
      <w:pPr>
        <w:spacing w:after="120" w:line="324" w:lineRule="auto"/>
        <w:jc w:val="both"/>
      </w:pPr>
      <w:r>
        <w:rPr>
          <w:rFonts w:ascii="Times New Roman" w:hAnsi="Times New Roman"/>
        </w:rPr>
        <w:t>GSTIN: 27AAACA9876B1Z5</w:t>
      </w:r>
    </w:p>
    <w:p>
      <w:pPr>
        <w:spacing w:after="120" w:line="324" w:lineRule="auto"/>
        <w:jc w:val="both"/>
      </w:pPr>
      <w:r>
        <w:rPr>
          <w:rFonts w:ascii="Times New Roman" w:hAnsi="Times New Roman"/>
        </w:rPr>
        <w:t>LIST OF ANNEXURES/SUPPORTING DOCUMENTS ENCLOSED</w:t>
      </w:r>
    </w:p>
    <w:p>
      <w:pPr>
        <w:spacing w:after="120" w:line="324" w:lineRule="auto"/>
        <w:jc w:val="both"/>
      </w:pPr>
      <w:r>
        <w:rPr>
          <w:rFonts w:ascii="Times New Roman" w:hAnsi="Times New Roman"/>
        </w:rPr>
        <w:t>Annexure-A: Certified true copy of Board Resolution dated 02-April-2024 approving diversification into computing/data-processing infrastructure business.</w:t>
      </w:r>
    </w:p>
    <w:p>
      <w:pPr>
        <w:spacing w:after="120" w:line="324" w:lineRule="auto"/>
        <w:jc w:val="both"/>
      </w:pPr>
      <w:r>
        <w:rPr>
          <w:rFonts w:ascii="Times New Roman" w:hAnsi="Times New Roman"/>
        </w:rPr>
        <w:t>Annexure-B: Fixed Asset Register reflecting capitalization of ASIC Miners and cooling equipment as "Plant &amp; Machinery."</w:t>
      </w:r>
    </w:p>
    <w:p>
      <w:pPr>
        <w:spacing w:after="120" w:line="324" w:lineRule="auto"/>
        <w:jc w:val="both"/>
      </w:pPr>
      <w:r>
        <w:rPr>
          <w:rFonts w:ascii="Times New Roman" w:hAnsi="Times New Roman"/>
        </w:rPr>
        <w:t>Annexure-C: Audited/Provisional Financial Statements for FY 2024-25 reflecting the said capital assets.</w:t>
      </w:r>
    </w:p>
    <w:p>
      <w:pPr>
        <w:spacing w:after="120" w:line="324" w:lineRule="auto"/>
        <w:jc w:val="both"/>
      </w:pPr>
      <w:r>
        <w:rPr>
          <w:rFonts w:ascii="Times New Roman" w:hAnsi="Times New Roman"/>
        </w:rPr>
        <w:t>Annexure-D: Copy of application (ARN: AA2710240012345) filed in Form GST REG-14 dated 10-April-2024 for amendment of registration to include additional SAC codes 998319 and 997331.</w:t>
      </w:r>
    </w:p>
    <w:p>
      <w:pPr>
        <w:spacing w:after="120" w:line="324" w:lineRule="auto"/>
        <w:jc w:val="both"/>
      </w:pPr>
      <w:r>
        <w:rPr>
          <w:rFonts w:ascii="Times New Roman" w:hAnsi="Times New Roman"/>
        </w:rPr>
        <w:t>Annexure-E: Sample tax invoices raised by the Noticee for computing/hash-rate hosting services rendered to clients, evidencing discharge of output GST @ 18%.</w:t>
      </w:r>
    </w:p>
    <w:p>
      <w:pPr>
        <w:spacing w:after="120" w:line="324" w:lineRule="auto"/>
        <w:jc w:val="both"/>
      </w:pPr>
      <w:r>
        <w:rPr>
          <w:rFonts w:ascii="Times New Roman" w:hAnsi="Times New Roman"/>
        </w:rPr>
        <w:t>Annexure-F: Copies of GSTR-1 and GSTR-3B returns for the relevant tax period(s) reflecting the corresponding outward taxable supplies.</w:t>
      </w:r>
    </w:p>
    <w:p>
      <w:pPr>
        <w:spacing w:after="120" w:line="324" w:lineRule="auto"/>
        <w:jc w:val="both"/>
      </w:pPr>
      <w:r>
        <w:rPr>
          <w:rFonts w:ascii="Times New Roman" w:hAnsi="Times New Roman"/>
        </w:rPr>
        <w:t>Annexure-G: Copies of purchase invoices/tax invoices for procurement of ASIC Miners and high-capacity cooling equipment, along with corresponding e-way bills and delivery challans.</w:t>
      </w:r>
    </w:p>
    <w:p>
      <w:pPr>
        <w:spacing w:after="120" w:line="324" w:lineRule="auto"/>
        <w:jc w:val="both"/>
      </w:pPr>
      <w:r>
        <w:rPr>
          <w:rFonts w:ascii="Times New Roman" w:hAnsi="Times New Roman"/>
        </w:rPr>
        <w:t>Annexure-H: GSTR-2B statement(s) for the relevant tax period(s) reflecting the eligible ITC in question.</w:t>
      </w:r>
    </w:p>
    <w:p>
      <w:pPr>
        <w:spacing w:after="120" w:line="324" w:lineRule="auto"/>
        <w:jc w:val="both"/>
      </w:pPr>
      <w:r>
        <w:rPr>
          <w:rFonts w:ascii="Times New Roman" w:hAnsi="Times New Roman"/>
        </w:rPr>
        <w:t>Annexure-I: Bank statements/payment vouchers evidencing payment of consideration together with applicable tax to the respective suppliers, in terms of the second proviso to Section 16(2) of the CGST Act, 2017.</w:t>
      </w:r>
    </w:p>
    <w:p>
      <w:pPr>
        <w:spacing w:after="120" w:line="324" w:lineRule="auto"/>
        <w:jc w:val="both"/>
      </w:pPr>
      <w:r>
        <w:rPr>
          <w:rFonts w:ascii="Times New Roman" w:hAnsi="Times New Roman"/>
        </w:rPr>
        <w:t>Annexure-J: Copy of the impugned Notice in Form GST ASMT-10 dated 15-Oct-2026.</w:t>
      </w:r>
    </w:p>
    <w:p>
      <w:pPr>
        <w:spacing w:after="120" w:line="324" w:lineRule="auto"/>
        <w:jc w:val="both"/>
      </w:pPr>
      <w:r>
        <w:rPr>
          <w:rFonts w:ascii="Times New Roman" w:hAnsi="Times New Roman"/>
        </w:rPr>
        <w:t>Annexure-K: Authorisation letter/Board Resolution authorising the signatory to verify and file the present reply.</w:t>
      </w:r>
    </w:p>
    <w:p>
      <w:pPr>
        <w:spacing w:after="120" w:line="324" w:lineRule="auto"/>
        <w:jc w:val="both"/>
      </w:pPr>
      <w:r>
        <w:rPr>
          <w:rFonts w:ascii="Times New Roman" w:hAnsi="Times New Roman"/>
        </w:rPr>
        <w:t>Place: Mumbai</w:t>
      </w:r>
    </w:p>
    <w:p>
      <w:pPr>
        <w:spacing w:after="120" w:line="324" w:lineRule="auto"/>
        <w:jc w:val="both"/>
      </w:pPr>
      <w:r>
        <w:rPr>
          <w:rFonts w:ascii="Times New Roman" w:hAnsi="Times New Roman"/>
        </w:rPr>
        <w:t>Date: ___-Oct-2026</w:t>
      </w:r>
    </w:p>
    <w:p>
      <w:pPr>
        <w:spacing w:after="120" w:line="324" w:lineRule="auto"/>
        <w:jc w:val="both"/>
      </w:pPr>
      <w:r>
        <w:rPr>
          <w:rFonts w:ascii="Times New Roman" w:hAnsi="Times New Roman"/>
        </w:rPr>
        <w:t>For Acme Industries Private Limited</w:t>
      </w:r>
    </w:p>
    <w:p>
      <w:pPr>
        <w:spacing w:after="120" w:line="324" w:lineRule="auto"/>
        <w:jc w:val="both"/>
      </w:pPr>
      <w:r>
        <w:rPr>
          <w:rFonts w:ascii="Times New Roman" w:hAnsi="Times New Roman"/>
        </w:rPr>
        <w:t>(Authorised Signatory)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jc w:val="both"/>
    </w:pPr>
    <w:rPr>
      <w:rFonts w:ascii="Times New Roman" w:hAnsi="Times New Roman"/>
      <w:color w:val="111111"/>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