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REPLY TO AUDIT OBSERVATIONS / AUDIT PARAS</w:t>
      </w:r>
    </w:p>
    <w:p/>
    <w:p>
      <w:pPr>
        <w:spacing w:after="80" w:line="276" w:lineRule="auto"/>
        <w:jc w:val="center"/>
      </w:pPr>
      <w:r>
        <w:rPr>
          <w:rFonts w:ascii="Times New Roman" w:hAnsi="Times New Roman"/>
          <w:b/>
          <w:sz w:val="24"/>
        </w:rPr>
        <w:t>BEFORE THE ASSISTANT COMMISSIONER,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CGST AUDIT CIRCLE-4, AUDIT COMMISSIONERATE, NASHIK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Office of the Commissioner, Goods &amp; Service Tax (Audit), Nashik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Kendriya Rajaswa Bhawan, Gadkari Chowk, Nashik ? 422 002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Reference: F. No. GADT/Gnd/ADT/GST/G480/2024-GR 16-CGST-ADT CIR-4 ADT NASHIK dated 24.05.2024</w:t>
      </w:r>
    </w:p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SUBJECT: WRITTEN REPLY TO AUDIT OBSERVATIONS RAISED FOR THE PERIOD F.Y. 2020-21 TO F.Y. 2022-23 ? SUBMISSIONS ON</w:t>
      </w:r>
    </w:p>
    <w:p/>
    <w:p>
      <w:pPr>
        <w:spacing w:after="120" w:line="324" w:lineRule="auto"/>
        <w:jc w:val="both"/>
      </w:pPr>
      <w:r>
        <w:rPr>
          <w:rFonts w:ascii="Times New Roman" w:hAnsi="Times New Roman"/>
        </w:rPr>
        <w:t>Para 1 (Late Fee on delayed filing of GSTR-1) and Para 2 (Alleged excess availment of ITC in GSTR-3B vis-à-vis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GSTR-2A) ? Reg.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Taxpayer: Shri Roshan Jawarilal Khatod, Proprietor of M/s J R K Infrastructure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Address: 627, Gadgil Lane, Raviwar Peth, Nashik, Maharashtra ? 422 001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GSTIN: 27BKFPK0391C1ZG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Respected Sir/Madam,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With reference to the captioned audit intimation dated 24.05.2024, the assessee, M/s J R K Infrastructure, through its</w:t>
      </w:r>
    </w:p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PROPRIETOR SHRI ROSHAN JAWARILAL KHATOD, MOST RESPECTFULLY BEGS TO SUBMIT THE FOLLOWING PARA-WISE WRITTEN REPLY ALONG</w:t>
      </w:r>
    </w:p>
    <w:p/>
    <w:p>
      <w:pPr>
        <w:spacing w:after="120" w:line="324" w:lineRule="auto"/>
        <w:jc w:val="both"/>
      </w:pPr>
      <w:r>
        <w:rPr>
          <w:rFonts w:ascii="Times New Roman" w:hAnsi="Times New Roman"/>
        </w:rPr>
        <w:t>with supporting documents. It is prayed that the same may kindly be considered on merits before drawing any adverse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conclusion or issuing any Show Cause Notice under Section 73/74 of the CGST Act, 2017.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I. PRELIMINARY SUBMISSIONS &amp; STATEMENT OF FACTS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That the assessee is a proprietary concern engaged in the business of infrastructure/works contract services and is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duly registered under the CGST Act, 2017 and MGST Act, 2017 bearing GSTIN 27BKFPK0391C1ZG, with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jurisdiction under CGST Audit Circle-4, Nashik.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That the assessee is a law-abiding taxpayer and has been discharging its statutory obligations, filing periodical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returns (GSTR-1, GSTR-3B, GSTR-9) and paying taxes in accordance with the provisions of the CGST/SGST/IGST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Acts and the Rules framed thereunder.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That the assessee has extended full cooperation to the audit team, and all books of account, invoices, tax returns,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reconciliations, ledgers and supporting records for the F.Y. 2020-21 to F.Y. 2022-23 have been produced for verification.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</w:rPr>
        <w:t>That the audit observations communicated vide the captioned letter dated 24.05.2024 have been carefully perused.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para-wise reply is respectfully submitted hereunder.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II. PARA-WISE REPLY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PARA 1 ? Late Fee on Delayed Filing of GSTR-1 Returns ? Rs. 10,850/- (CGST Rs. 5,425/- + SGST Rs. 5,425/-)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That the assessee, in a spirit of cooperation and to buy peace with the Department, accepts the audit objection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regarding delayed filing of GSTR-1 returns for the months tabulated in the audit para for F.Y. 2020-21, 2021-22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2022-23.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That the aggregate late fee of Rs. 10,850/- (Rupees Ten Thousand Eight Hundred Fifty only) [CGST: Rs. 5,425/- +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SGST: Rs. 5,425/-] shall be discharged through Form GST DRC-03 forthwith, and proof of payment shall be furnished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to the audit team on record.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That, however, it is most humbly submitted that the delay in filing of GSTR-1 returns was neither wilful nor with any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mala fide intent to evade tax. The delay was occasioned by: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(a) </w:t>
      </w:r>
      <w:r>
        <w:rPr>
          <w:rFonts w:ascii="Times New Roman" w:hAnsi="Times New Roman"/>
        </w:rPr>
        <w:t>The pandemic-induced disruptions during F.Y. 2020-21 and part of F.Y. 2021-22 (COVID-19), acknowledged by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Government itself through multiple notifications extending due dates and waiving late fees;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(b) </w:t>
      </w:r>
      <w:r>
        <w:rPr>
          <w:rFonts w:ascii="Times New Roman" w:hAnsi="Times New Roman"/>
        </w:rPr>
        <w:t>Genuine administrative and technical difficulties faced at the taxpayer's end; and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(c) </w:t>
      </w:r>
      <w:r>
        <w:rPr>
          <w:rFonts w:ascii="Times New Roman" w:hAnsi="Times New Roman"/>
        </w:rPr>
        <w:t>The fact that the corresponding outward tax liability was duly discharged through GSTR-3B, resulting in no loss of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revenue to the exchequer.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</w:rPr>
        <w:t>That Section 47 of the CGST Act, 2017 prescribes only a late fee and does not contemplate imposition of any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additional penalty for delayed filing of GSTR-1. It is settled law that where a specific fee is prescribed under a taxing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statute, penalty under general penal provisions cannot be simultaneously imposed for the same default. Reliance is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placed on the general principle of law that penalty is not automatic and requires a finding of contumacious conduct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[Hindustan Steel Ltd. v. State of Orissa, (1970) 1 SCC 753].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5. </w:t>
      </w:r>
      <w:r>
        <w:rPr>
          <w:rFonts w:ascii="Times New Roman" w:hAnsi="Times New Roman"/>
        </w:rPr>
        <w:t>It is therefore prayed that no separate penalty under Section 122 or 125 of the CGST Act, 2017 may be levied,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since: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(i) </w:t>
      </w:r>
      <w:r>
        <w:rPr>
          <w:rFonts w:ascii="Times New Roman" w:hAnsi="Times New Roman"/>
        </w:rPr>
        <w:t>The late fee itself is compensatory in nature;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(ii) </w:t>
      </w:r>
      <w:r>
        <w:rPr>
          <w:rFonts w:ascii="Times New Roman" w:hAnsi="Times New Roman"/>
        </w:rPr>
        <w:t>There is no loss of revenue; and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(iii) </w:t>
      </w:r>
      <w:r>
        <w:rPr>
          <w:rFonts w:ascii="Times New Roman" w:hAnsi="Times New Roman"/>
        </w:rPr>
        <w:t>The assessee has voluntarily accepted the objection and is paying the dues.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PARA 2 ? Alleged Excess Availment of ITC in GSTR-3B vis-à-vis GSTR-2A / 2B ? Rs. 2,78,613/- (CGST Rs. 75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audit observation is strongly contested on facts and in law for the following reasons: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#### A. FACTUAL REBUTTAL ? RECONCILIATION AVAILABLE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That the alleged mismatch has been computed by mechanically comparing GSTR-3B with GSTR-2A/2B, without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appreciating that the ITC availed by the assessee is duly backed by: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(a) </w:t>
      </w:r>
      <w:r>
        <w:rPr>
          <w:rFonts w:ascii="Times New Roman" w:hAnsi="Times New Roman"/>
        </w:rPr>
        <w:t>Tax invoices issued by registered suppliers in terms of Section 31;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(b) </w:t>
      </w:r>
      <w:r>
        <w:rPr>
          <w:rFonts w:ascii="Times New Roman" w:hAnsi="Times New Roman"/>
        </w:rPr>
        <w:t>Actual receipt of goods/services within the meaning of Section 16(2)(b);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(c) </w:t>
      </w:r>
      <w:r>
        <w:rPr>
          <w:rFonts w:ascii="Times New Roman" w:hAnsi="Times New Roman"/>
        </w:rPr>
        <w:t>Payment of consideration to suppliers within 180 days as per second proviso to Section 16(2); and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(d) </w:t>
      </w:r>
      <w:r>
        <w:rPr>
          <w:rFonts w:ascii="Times New Roman" w:hAnsi="Times New Roman"/>
        </w:rPr>
        <w:t>Payment of tax by suppliers as verified through subsequent updation of GSTR-2A.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That a detailed ITC Reconciliation Statement (Annexure-A) is enclosed reconciling: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(i) </w:t>
      </w:r>
      <w:r>
        <w:rPr>
          <w:rFonts w:ascii="Times New Roman" w:hAnsi="Times New Roman"/>
        </w:rPr>
        <w:t>ITC availed in GSTR-3B;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(ii) </w:t>
      </w:r>
      <w:r>
        <w:rPr>
          <w:rFonts w:ascii="Times New Roman" w:hAnsi="Times New Roman"/>
        </w:rPr>
        <w:t>ITC auto-populated in GSTR-2A/2B;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(iii) </w:t>
      </w:r>
      <w:r>
        <w:rPr>
          <w:rFonts w:ascii="Times New Roman" w:hAnsi="Times New Roman"/>
        </w:rPr>
        <w:t>ITC pertaining to invoices uploaded by suppliers belatedly in subsequent tax periods; and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(iv) </w:t>
      </w:r>
      <w:r>
        <w:rPr>
          <w:rFonts w:ascii="Times New Roman" w:hAnsi="Times New Roman"/>
        </w:rPr>
        <w:t>ITC pertaining to invoices of the previous year availed in the current year within the time limit permitted under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Section 16(4).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That the perceived difference substantially stands explained by: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(a) </w:t>
      </w:r>
      <w:r>
        <w:rPr>
          <w:rFonts w:ascii="Times New Roman" w:hAnsi="Times New Roman"/>
        </w:rPr>
        <w:t>Delayed uploading of invoices by suppliers in their GSTR-1, which subsequently reflected in GSTR-2A (dynamic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in nature);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(b) </w:t>
      </w:r>
      <w:r>
        <w:rPr>
          <w:rFonts w:ascii="Times New Roman" w:hAnsi="Times New Roman"/>
        </w:rPr>
        <w:t>Import IGST paid at Customs (BOE-based ITC) which does not always reflect correctly in GSTR-2A/2B;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(c) </w:t>
      </w:r>
      <w:r>
        <w:rPr>
          <w:rFonts w:ascii="Times New Roman" w:hAnsi="Times New Roman"/>
        </w:rPr>
        <w:t>RCM-based ITC self-invoiced and discharged, which does not appear in GSTR-2A;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(d) </w:t>
      </w:r>
      <w:r>
        <w:rPr>
          <w:rFonts w:ascii="Times New Roman" w:hAnsi="Times New Roman"/>
        </w:rPr>
        <w:t>Timing differences between the date of invoice and date of accounting/availment.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#### B. LEGAL REBUTTAL ? ITC CANNOT BE DENIED SOLELY ON GSTR-2A MISMATCH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</w:rPr>
        <w:t>That for the F.Y. 2020-21, Rule 36(4) of the CGST Rules, 2017 permitted availment of ITC to the extent of invoices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actually uploaded by suppliers plus 5% (originally 10%) tolerance. Section 16(2)(aa) came into force only w.e.f.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01.01.2022 vide Notification No. 39/2021-CT dated 21.12.2021. Therefore, for the F.Y. 2020-21 and for the period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April 2021 to December 2021, ITC cannot be denied merely on the ground of non-reflection in GSTR-2A.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5. </w:t>
      </w:r>
      <w:r>
        <w:rPr>
          <w:rFonts w:ascii="Times New Roman" w:hAnsi="Times New Roman"/>
        </w:rPr>
        <w:t>Reliance is placed on CBIC Circular No. 183/15/2022-GST dated 27.12.2022, which prescribes the procedure for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VERIFICATION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No. 193/05/2023-GST dated 17.07.2023 covering the period 01.04.2019 to 31.12.2021. These Circulars mandate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that the officer shall accept ITC on the basis of: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(a) </w:t>
      </w:r>
      <w:r>
        <w:rPr>
          <w:rFonts w:ascii="Times New Roman" w:hAnsi="Times New Roman"/>
        </w:rPr>
        <w:t>Certificate from the supplier / CA certificate (for mismatch &gt; Rs. 5 lakh); and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(b) </w:t>
      </w:r>
      <w:r>
        <w:rPr>
          <w:rFonts w:ascii="Times New Roman" w:hAnsi="Times New Roman"/>
        </w:rPr>
        <w:t>Self-certification by the recipient (for mismatch up to Rs. 5 lakh),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confirming payment of tax by the supplier.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6. </w:t>
      </w:r>
      <w:r>
        <w:rPr>
          <w:rFonts w:ascii="Times New Roman" w:hAnsi="Times New Roman"/>
        </w:rPr>
        <w:t>That the following judicial precedents squarely support the assessee's case that ITC cannot be denied mechanically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on GSTR-2A mismatch: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(i) </w:t>
      </w:r>
      <w:r>
        <w:rPr>
          <w:rFonts w:ascii="Times New Roman" w:hAnsi="Times New Roman"/>
        </w:rPr>
        <w:t>Diya Agencies v. State Tax Officer [2023 (9) TMI 955 ? Kerala HC];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(ii) </w:t>
      </w:r>
      <w:r>
        <w:rPr>
          <w:rFonts w:ascii="Times New Roman" w:hAnsi="Times New Roman"/>
        </w:rPr>
        <w:t>Suncraft Energy Pvt. Ltd. v. Assistant Commissioner [2023 (8) TMI 174 ? Calcutta HC], affirmed by the Hon'ble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Supreme Court;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(iii) </w:t>
      </w:r>
      <w:r>
        <w:rPr>
          <w:rFonts w:ascii="Times New Roman" w:hAnsi="Times New Roman"/>
        </w:rPr>
        <w:t>M/s LGW Industries Ltd. v. Union of India [Calcutta HC];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(iv) </w:t>
      </w:r>
      <w:r>
        <w:rPr>
          <w:rFonts w:ascii="Times New Roman" w:hAnsi="Times New Roman"/>
        </w:rPr>
        <w:t>D.Y. Beathel Enterprises v. STO [Madras HC].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7. </w:t>
      </w:r>
      <w:r>
        <w:rPr>
          <w:rFonts w:ascii="Times New Roman" w:hAnsi="Times New Roman"/>
        </w:rPr>
        <w:t>That the assessee has satisfied all four conditions of Section 16(2) of the CGST Act, 2017, and hence is entitled to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ITC as claimed.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#### C. PROCEDURAL GAP ? PREMATURE COMPUTATION WITHOUT SCN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8. </w:t>
      </w:r>
      <w:r>
        <w:rPr>
          <w:rFonts w:ascii="Times New Roman" w:hAnsi="Times New Roman"/>
        </w:rPr>
        <w:t>That the audit observation, at this stage, is merely a communication of tentative findings under Rule 101(4) of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CGST Rules, 2017, and does not constitute a demand. Any demand for recovery of ITC can be raised only after due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issuance of a Show Cause Notice under Section 73 or Section 74 read with Section 75 of the CGST Act, 2017, granting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assessee full opportunity to be heard.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9. </w:t>
      </w:r>
      <w:r>
        <w:rPr>
          <w:rFonts w:ascii="Times New Roman" w:hAnsi="Times New Roman"/>
        </w:rPr>
        <w:t>That in the absence of any allegation, much less proof, of fraud, wilful misstatement or suppression of facts,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invocation of the extended period under Section 74 is wholly impermissible. Reliance is placed on Uniworth Textiles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Ltd. v. CCE [(2013) 9 SCC 753] and Pushpam Pharmaceuticals v. CCE [1995 Supp (3) SCC 462].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10. </w:t>
      </w:r>
      <w:r>
        <w:rPr>
          <w:rFonts w:ascii="Times New Roman" w:hAnsi="Times New Roman"/>
        </w:rPr>
        <w:t>That any penalty proposed at this stage would be premature and legally untenable, as the same is not automatic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and can be levied only after adjudication in terms of Section 75(13) and the principles of natural justice.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III. PRAYER / RELIEF SOUGHT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In view of the aforesaid facts, submissions and settled legal position, it is most respectfully prayed that this Hon'ble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Authority may be pleased to: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(a) </w:t>
      </w:r>
      <w:r>
        <w:rPr>
          <w:rFonts w:ascii="Times New Roman" w:hAnsi="Times New Roman"/>
        </w:rPr>
        <w:t>Accept the payment of late fee of Rs. 10,850/- under Para 1 through DRC-03 and drop any proposal for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additional penalty thereon;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(b) </w:t>
      </w:r>
      <w:r>
        <w:rPr>
          <w:rFonts w:ascii="Times New Roman" w:hAnsi="Times New Roman"/>
        </w:rPr>
        <w:t>Drop the audit objection raised under Para 2 amounting to Rs. 2,78,613/- (CGST Rs. 75,354/- + SGST Rs.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75,354/- + IGST Rs. 1,14,533/-) in view of the reconciliation, supporting documents, CBIC Circulars No.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183/15/2022-GST dated 27.12.2022 and No. 193/(b) Drop the audit objection raised under Para 2 amounting to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Rs. 2,78,613/- (CGST Rs. 75,354/- + SGST Rs. 75,354/- + IGST Rs. 1,14,533/-) in view of the reconciliation, supporting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documents, CBIC Circulars No. 183/15/2022-GST dated 27.12.2022 and No. 193/05/2023-GST dated 17.07.2023,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settled judicial precedents relied upon hereinabove;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(c) </w:t>
      </w:r>
      <w:r>
        <w:rPr>
          <w:rFonts w:ascii="Times New Roman" w:hAnsi="Times New Roman"/>
        </w:rPr>
        <w:t>Hold that the conditions of Section 16(2) of the CGST Act, 2017 stand duly satisfied by the assessee, and that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ITC availed is legitimate, bona fide and supported by valid tax invoices, receipt of goods/services, and payment of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consideration to suppliers;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(d) </w:t>
      </w:r>
      <w:r>
        <w:rPr>
          <w:rFonts w:ascii="Times New Roman" w:hAnsi="Times New Roman"/>
        </w:rPr>
        <w:t>Refrain from issuing any Show Cause Notice under Section 73/74 of the CGST Act, 2017 in respect of Para 2,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as no case of short-payment, wrong availment, fraud, wilful misstatement or suppression of facts is made out;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(e) </w:t>
      </w:r>
      <w:r>
        <w:rPr>
          <w:rFonts w:ascii="Times New Roman" w:hAnsi="Times New Roman"/>
        </w:rPr>
        <w:t>Grant an opportunity of personal hearing to the assessee and/or its authorised representative under Section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75(4) of the CGST Act, 2017, before passing any adverse order or drawing any final conclusion in the matter;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(f) </w:t>
      </w:r>
      <w:r>
        <w:rPr>
          <w:rFonts w:ascii="Times New Roman" w:hAnsi="Times New Roman"/>
        </w:rPr>
        <w:t>Permit the assessee to file additional submissions, reconciliations, supplier confirmations, CA certificates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documentary evidence, as and when required by the audit team, in support of the ITC claimed; and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(g) </w:t>
      </w:r>
      <w:r>
        <w:rPr>
          <w:rFonts w:ascii="Times New Roman" w:hAnsi="Times New Roman"/>
        </w:rPr>
        <w:t>Pass such further or other order(s) as may be deemed just, fit, equitable and proper in the facts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circumstances of the case, in the interest of justice.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IV. ANNEXURE CHECKLIST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following documents are annexed herewith and form an integral part of this reply: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Annexure-A: Detailed ITC Reconciliation Statement for F.Y. 2020-21, 2021-22 and 2022-23 (GSTR-3B vs.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GSTR-2A / GSTR-2B vs. Books of Account).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Annexure-B: Copies of GSTR-1 returns filed for the disputed months of F.Y. 2020-21 to 2022-23 (evidencing filing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dates).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Annexure-C: Copies of GSTR-3B returns filed for F.Y. 2020-21 to F.Y. 2022-23.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Annexure-D: Copies of GSTR-9 (Annual Returns) filed for F.Y. 2020-21, 2021-22 and 2022-23.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Annexure-E: GSTR-2A and GSTR-2B statements downloaded from the GSTN portal for F.Y. 2020-21 to F.Y.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2022-23.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Annexure-F: Sample copies of tax invoices raised by suppliers on the assessee (illustrative, to substantiate ITC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availed).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Annexure-G: E-way bills / Lorry Receipts / Delivery Challans evidencing actual receipt of goods (wherever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applicable).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Annexure-H: Copies of Bills of Entry (BOE) evidencing payment of IGST on imports (wherever applicable).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Annexure-I: Ledger extracts of suppliers showing payment of consideration within 180 days as per second proviso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to Section 16(2) of the CGST Act, 2017.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Annexure-J: Self-declaration/undertaking by the assessee in terms of CBIC Circular No. 183/15/2022-GST dated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27.12.2022 and Circular No. 193/05/2023-GST dated 17.07.2023 (for mismatch entries, wherever the differential ITC is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up to Rs. 5 lakh per supplier).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Annexure-K: Copies of DRC-03 challan(s) evidencing payment of late fee of Rs. 10,850/- (CGST Rs. 5,425/- +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SGST Rs. 5,425/-) under Section 47 of the CGST Act, 2017 (to be filed on record).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Annexure-L: Copy of PAN and GST Registration Certificate (Form GST REG-06) of the assessee.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Annexure-M: Board Resolution / Authorisation Letter authorising the signatory / consultant to represent the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sz w:val="24"/>
        </w:rPr>
        <w:t>assessee before the Audit Authority.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Annexure-N: Copies of relevant judicial precedents relied upon (*Diya Agencies, Suncraft Energy, D.Y. Beathel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Enterprises, Hindustan Steel, Uniworth Textiles*).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V. VERIFICATION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I, Shri Roshan Jawarilal Khatod, Proprietor of M/s J R K Infrastructure, holder of GSTIN 27BKFPK0391C1ZG,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do hereby solemnly affirm and declare that the contents of the above reply from Paragraph 1 to the Prayer Clause are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true and correct to the best of my knowledge, information and belief based on the books of account and records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maintained by the firm in the ordinary course of business. Nothing material has been concealed therefrom.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Verified at Nashik on this ______ day of ____________, 2024.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For M/s J R K Infrastructure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(Roshan Jawarilal Khatod)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Proprietor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GSTIN: 27BKFPK0391C1ZG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Address: 627, Gadgil Lane, Raviwar Peth, Nashik ? 422 001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Mobile: __________________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Email: __________________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Place: Nashik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Date: ______________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Copy submitted to: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The Commissioner, CGST Audit Commissionerate, Nashik ? for kind information.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The Superintendent (Audit), CGST Audit Circle-4, Nashik ? for records and further necessary action.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Office copy.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*This reply is submitted without prejudice to the rights and contentions of the assessee, and the assessee craves leave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to add, alter, amend, modify, substitute or delete any of the grounds and submissions urged herein, and to place 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record additional documents/evidence, at any subsequent stage of the proceedings, if so required.*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jc w:val="both"/>
    </w:pPr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