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76" w:lineRule="auto"/>
        <w:jc w:val="center"/>
      </w:pPr>
      <w:r>
        <w:rPr>
          <w:rFonts w:ascii="Times New Roman" w:hAnsi="Times New Roman"/>
          <w:b/>
          <w:sz w:val="24"/>
        </w:rPr>
        <w:t>BEFORE THE ASSISTANT COMMISSIONER / AUDIT OFFICER</w:t>
      </w:r>
    </w:p>
    <w:p>
      <w:pPr>
        <w:spacing w:after="120" w:line="324" w:lineRule="auto"/>
        <w:jc w:val="both"/>
      </w:pPr>
      <w:r>
        <w:rPr>
          <w:rFonts w:ascii="Times New Roman" w:hAnsi="Times New Roman"/>
        </w:rPr>
        <w:t>OFFICE OF THE COMMISSIONER OF CENTRAL GOODS &amp; SERVICE TAX (AUDIT)</w:t>
      </w:r>
    </w:p>
    <w:p>
      <w:pPr>
        <w:spacing w:after="120" w:line="324" w:lineRule="auto"/>
        <w:jc w:val="both"/>
      </w:pPr>
      <w:r>
        <w:rPr>
          <w:rFonts w:ascii="Times New Roman" w:hAnsi="Times New Roman"/>
        </w:rPr>
        <w:t>KENDRIYA RAJASWA BHAWAN, GADKARI CHOWK, NASHIK - 422002</w:t>
      </w:r>
    </w:p>
    <w:p>
      <w:pPr>
        <w:spacing w:after="120" w:line="324" w:lineRule="auto"/>
        <w:jc w:val="both"/>
      </w:pPr>
      <w:r>
        <w:rPr>
          <w:rFonts w:ascii="Times New Roman" w:hAnsi="Times New Roman"/>
        </w:rPr>
        <w:t>IN THE MATTER OF:</w:t>
      </w:r>
    </w:p>
    <w:p>
      <w:pPr>
        <w:spacing w:after="120" w:line="324" w:lineRule="auto"/>
        <w:jc w:val="both"/>
      </w:pPr>
      <w:r>
        <w:rPr>
          <w:rFonts w:ascii="Times New Roman" w:hAnsi="Times New Roman"/>
        </w:rPr>
        <w:t>M/s J R K INFRASTRUCTURE</w:t>
      </w:r>
    </w:p>
    <w:p>
      <w:pPr>
        <w:spacing w:after="80"/>
        <w:jc w:val="right"/>
      </w:pPr>
      <w:r>
        <w:rPr>
          <w:rFonts w:ascii="Times New Roman" w:hAnsi="Times New Roman"/>
          <w:b/>
        </w:rPr>
        <w:t>(Represented by Proprietor: Shri Roshan Jawarilal Khatod)</w:t>
      </w:r>
    </w:p>
    <w:p>
      <w:pPr>
        <w:spacing w:after="120" w:line="324" w:lineRule="auto"/>
        <w:jc w:val="both"/>
      </w:pPr>
      <w:r>
        <w:rPr>
          <w:rFonts w:ascii="Times New Roman" w:hAnsi="Times New Roman"/>
        </w:rPr>
        <w:t>GSTIN: 27BKFPK0391C1ZG | PAN: BKFPK0391C</w:t>
      </w:r>
    </w:p>
    <w:p>
      <w:pPr>
        <w:spacing w:after="120" w:line="324" w:lineRule="auto"/>
        <w:jc w:val="both"/>
      </w:pPr>
      <w:r>
        <w:rPr>
          <w:rFonts w:ascii="Times New Roman" w:hAnsi="Times New Roman"/>
        </w:rPr>
        <w:t>Principal Place of Business: Nashik, Maharashtra</w:t>
      </w:r>
    </w:p>
    <w:p>
      <w:pPr>
        <w:spacing w:after="120" w:line="324" w:lineRule="auto"/>
        <w:jc w:val="both"/>
      </w:pPr>
      <w:r>
        <w:rPr>
          <w:rFonts w:ascii="Times New Roman" w:hAnsi="Times New Roman"/>
        </w:rPr>
        <w:t>Audit Notice Reference No.: GADT/Gnd/ADT/GST/6480/2024-GR 16-CGST-ADT CIR-4 NASHIK</w:t>
      </w:r>
    </w:p>
    <w:p>
      <w:pPr>
        <w:spacing w:after="120" w:line="324" w:lineRule="auto"/>
        <w:jc w:val="both"/>
      </w:pPr>
      <w:r>
        <w:rPr>
          <w:rFonts w:ascii="Times New Roman" w:hAnsi="Times New Roman"/>
        </w:rPr>
        <w:t>Communication Date: 24th May, 2024</w:t>
      </w:r>
    </w:p>
    <w:p>
      <w:pPr>
        <w:spacing w:after="120" w:line="324" w:lineRule="auto"/>
        <w:jc w:val="both"/>
      </w:pPr>
      <w:r>
        <w:rPr>
          <w:rFonts w:ascii="Times New Roman" w:hAnsi="Times New Roman"/>
        </w:rPr>
        <w:t>Audit Period: Financial Years 2020-21, 2021-22 &amp; 2022-23</w:t>
      </w:r>
    </w:p>
    <w:p>
      <w:pPr>
        <w:spacing w:after="120" w:line="324" w:lineRule="auto"/>
        <w:jc w:val="both"/>
      </w:pPr>
      <w:r>
        <w:rPr>
          <w:rFonts w:ascii="Times New Roman" w:hAnsi="Times New Roman"/>
        </w:rPr>
        <w:t>Subject: COMPREHENSIVE WRITTEN SUBMISSION AND LEGAL REBUTTAL TO AUDIT OBSERVATIONS / PARAS COMMUNICATED UNDER SECTION 65(6) OF THE CENTRAL GOODS AND SERVICES TAX ACT, 2017 READ WITH RULE 101(4) OF THE CGST RULES, 2017.</w:t>
      </w:r>
    </w:p>
    <w:p>
      <w:pPr>
        <w:spacing w:after="120" w:line="324" w:lineRule="auto"/>
        <w:jc w:val="both"/>
      </w:pPr>
      <w:r>
        <w:rPr>
          <w:rFonts w:ascii="Times New Roman" w:hAnsi="Times New Roman"/>
        </w:rPr>
        <w:t>MAY IT PLEASE YOUR HONOUR:</w:t>
      </w:r>
    </w:p>
    <w:p>
      <w:pPr>
        <w:spacing w:before="280" w:after="120"/>
        <w:jc w:val="left"/>
      </w:pPr>
      <w:r>
        <w:rPr>
          <w:rFonts w:ascii="Times New Roman" w:hAnsi="Times New Roman"/>
          <w:b/>
          <w:sz w:val="24"/>
          <w:u w:val="single"/>
        </w:rPr>
        <w:t>1. PRELIMINARY SUBMISSIONS &amp; ACKNOWLEDGMENT OF AUDIT PROCEEDINGS</w:t>
      </w:r>
    </w:p>
    <w:p>
      <w:pPr>
        <w:spacing w:after="120" w:line="324" w:lineRule="auto"/>
        <w:jc w:val="both"/>
      </w:pPr>
      <w:r>
        <w:rPr>
          <w:rFonts w:ascii="Times New Roman" w:hAnsi="Times New Roman"/>
          <w:b/>
        </w:rPr>
        <w:t xml:space="preserve">1.1. </w:t>
      </w:r>
      <w:r>
        <w:rPr>
          <w:rFonts w:ascii="Times New Roman" w:hAnsi="Times New Roman"/>
        </w:rPr>
        <w:t>The Taxpayer, M/s J R K Infrastructure, a sole proprietorship concern engaged in civil construction, infrastructure development, and supply of related works contract services, registered under the Central Goods and Services Tax Act, 2017 (hereinafter referred to as the "CGST Act") bearing GSTIN 27BKFPK0391C1ZG, submits this comprehensive and detailed written reply to the audit observations communicated vide letter reference GADT/Gnd/ADT/GST/6480/2024 dated 24/05/2024.</w:t>
      </w:r>
    </w:p>
    <w:p>
      <w:pPr>
        <w:spacing w:after="120" w:line="324" w:lineRule="auto"/>
        <w:jc w:val="both"/>
      </w:pPr>
      <w:r>
        <w:rPr>
          <w:rFonts w:ascii="Times New Roman" w:hAnsi="Times New Roman"/>
          <w:b/>
        </w:rPr>
        <w:t xml:space="preserve">1.2. </w:t>
      </w:r>
      <w:r>
        <w:rPr>
          <w:rFonts w:ascii="Times New Roman" w:hAnsi="Times New Roman"/>
        </w:rPr>
        <w:t>At the outset, the Taxpayer places on record its full cooperation with the GST Audit Team during the conduct of audit under Section 65 of the CGST Act, 2017 for the Financial Years 2020-21, 2021-22, and 2022-23. All books of accounts, sales registers, purchase ledgers, bank statements, GSTR-1, GSTR-3B returns, and tax invoices requested by the Audit Officer were duly produced for physical and digital verification.</w:t>
      </w:r>
    </w:p>
    <w:p>
      <w:pPr>
        <w:spacing w:after="120" w:line="324" w:lineRule="auto"/>
        <w:jc w:val="both"/>
      </w:pPr>
      <w:r>
        <w:rPr>
          <w:rFonts w:ascii="Times New Roman" w:hAnsi="Times New Roman"/>
          <w:b/>
        </w:rPr>
        <w:t xml:space="preserve">1.3. </w:t>
      </w:r>
      <w:r>
        <w:rPr>
          <w:rFonts w:ascii="Times New Roman" w:hAnsi="Times New Roman"/>
        </w:rPr>
        <w:t>The Taxpayer denies all allegations of tax short-payment, inadmissible Input Tax Credit (ITC), and non-compliance raised in the audit observation note, save and except what is specifically admitted herein. The detailed itemized rebuttals to Audit Para 1 and Audit Para 2 are set forth below.</w:t>
      </w:r>
    </w:p>
    <w:p>
      <w:pPr>
        <w:spacing w:after="120" w:line="324" w:lineRule="auto"/>
        <w:jc w:val="both"/>
      </w:pPr>
      <w:r>
        <w:rPr>
          <w:rFonts w:ascii="Times New Roman" w:hAnsi="Times New Roman"/>
          <w:b/>
        </w:rPr>
        <w:t xml:space="preserve">2. </w:t>
      </w:r>
      <w:r>
        <w:rPr>
          <w:rFonts w:ascii="Times New Roman" w:hAnsi="Times New Roman"/>
        </w:rPr>
        <w:t>FACTUAL &amp; STATUTORY REBUTTAL TO AUDIT PARA 1:</w:t>
      </w:r>
    </w:p>
    <w:p>
      <w:pPr>
        <w:spacing w:after="120" w:line="324" w:lineRule="auto"/>
        <w:jc w:val="both"/>
      </w:pPr>
      <w:r>
        <w:rPr>
          <w:rFonts w:ascii="Times New Roman" w:hAnsi="Times New Roman"/>
        </w:rPr>
        <w:t>ALLEGED LATE FEES LIABILITY ON DELAYED FILING OF FORM GSTR-1</w:t>
      </w:r>
    </w:p>
    <w:p>
      <w:pPr>
        <w:spacing w:after="120" w:line="324" w:lineRule="auto"/>
        <w:jc w:val="both"/>
      </w:pPr>
      <w:r>
        <w:rPr>
          <w:rFonts w:ascii="Times New Roman" w:hAnsi="Times New Roman"/>
          <w:b/>
        </w:rPr>
        <w:t xml:space="preserve">2.1. </w:t>
      </w:r>
      <w:r>
        <w:rPr>
          <w:rFonts w:ascii="Times New Roman" w:hAnsi="Times New Roman"/>
        </w:rPr>
        <w:t>Audit Observation Summary:</w:t>
      </w:r>
    </w:p>
    <w:p>
      <w:pPr>
        <w:spacing w:after="120" w:line="324" w:lineRule="auto"/>
        <w:jc w:val="both"/>
      </w:pPr>
      <w:r>
        <w:rPr>
          <w:rFonts w:ascii="Times New Roman" w:hAnsi="Times New Roman"/>
        </w:rPr>
        <w:t>Audit Para 1 alleges that during the audit period (FY 2020-21 to FY 2022-23), the Taxpayer filed Form GSTR-1 beyond the due dates prescribed under Section 37 of the CGST Act for certain monthly tax periods, resulting in an alleged un-discharged late fee liability under Section 47 of the CGST Act, 2017.</w:t>
      </w:r>
    </w:p>
    <w:p>
      <w:pPr>
        <w:spacing w:after="120" w:line="324" w:lineRule="auto"/>
        <w:jc w:val="both"/>
      </w:pPr>
      <w:r>
        <w:rPr>
          <w:rFonts w:ascii="Times New Roman" w:hAnsi="Times New Roman"/>
          <w:b/>
        </w:rPr>
        <w:t xml:space="preserve">2.2. </w:t>
      </w:r>
      <w:r>
        <w:rPr>
          <w:rFonts w:ascii="Times New Roman" w:hAnsi="Times New Roman"/>
        </w:rPr>
        <w:t>Factual Submissions &amp; Full Discharge of Statutory Late Fees:</w:t>
      </w:r>
    </w:p>
    <w:p>
      <w:pPr>
        <w:spacing w:after="120" w:line="324" w:lineRule="auto"/>
        <w:jc w:val="both"/>
      </w:pPr>
      <w:r>
        <w:rPr>
          <w:rFonts w:ascii="Times New Roman" w:hAnsi="Times New Roman"/>
          <w:b/>
        </w:rPr>
        <w:t xml:space="preserve">(a) </w:t>
      </w:r>
      <w:r>
        <w:rPr>
          <w:rFonts w:ascii="Times New Roman" w:hAnsi="Times New Roman"/>
        </w:rPr>
        <w:t>The Taxpayer submits that while there were minor procedural delays in submitting Form GSTR-1 outward supply details for specific months due to lockdowns and operational disruptions during the COVID-19 pandemic period and initial GST portal synchronization issues, all statutory late fees accrued under Section 47 were systematically calculated and fully paid.</w:t>
      </w:r>
    </w:p>
    <w:p>
      <w:pPr>
        <w:spacing w:after="120" w:line="324" w:lineRule="auto"/>
        <w:jc w:val="both"/>
      </w:pPr>
      <w:r>
        <w:rPr>
          <w:rFonts w:ascii="Times New Roman" w:hAnsi="Times New Roman"/>
          <w:b/>
        </w:rPr>
        <w:t xml:space="preserve">(b) </w:t>
      </w:r>
      <w:r>
        <w:rPr>
          <w:rFonts w:ascii="Times New Roman" w:hAnsi="Times New Roman"/>
        </w:rPr>
        <w:t>As per the established architecture of the GST portal, any late fee arising on account of delayed filing of Form GSTR-1 is auto-populated in Table 10 of the subsequent month's Form GSTR-3B return.</w:t>
      </w:r>
    </w:p>
    <w:p>
      <w:pPr>
        <w:spacing w:after="120" w:line="324" w:lineRule="auto"/>
        <w:jc w:val="both"/>
      </w:pPr>
      <w:r>
        <w:rPr>
          <w:rFonts w:ascii="Times New Roman" w:hAnsi="Times New Roman"/>
          <w:b/>
        </w:rPr>
        <w:t xml:space="preserve">(c) </w:t>
      </w:r>
      <w:r>
        <w:rPr>
          <w:rFonts w:ascii="Times New Roman" w:hAnsi="Times New Roman"/>
        </w:rPr>
        <w:t>The Taxpayer has remitted 100% of the late fees through the Electronic Cash Ledger while submitting the corresponding Form GSTR-3B returns. No late fee liability remains outstanding or unpaid for the subject audit period.</w:t>
      </w:r>
    </w:p>
    <w:p>
      <w:pPr>
        <w:spacing w:after="120" w:line="324" w:lineRule="auto"/>
        <w:jc w:val="both"/>
      </w:pPr>
      <w:r>
        <w:rPr>
          <w:rFonts w:ascii="Times New Roman" w:hAnsi="Times New Roman"/>
          <w:b/>
        </w:rPr>
        <w:t xml:space="preserve">2.3. </w:t>
      </w:r>
      <w:r>
        <w:rPr>
          <w:rFonts w:ascii="Times New Roman" w:hAnsi="Times New Roman"/>
        </w:rPr>
        <w:t>Tabular Reconciliation of Form GSTR-1 Filing &amp; Late Fee Payment: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00" w:type="dxa"/>
              <w:bottom w:w="100" w:type="dxa"/>
              <w:left w:w="150" w:type="dxa"/>
              <w:right w:w="150" w:type="dxa"/>
            </w:tcMar>
            <w:shd w:fill="EAEAEA"/>
          </w:tcPr>
          <w:p>
            <w:pPr>
              <w:spacing w:after="40"/>
              <w:jc w:val="left"/>
            </w:pPr>
            <w:r>
              <w:rPr>
                <w:rFonts w:ascii="Times New Roman" w:hAnsi="Times New Roman"/>
                <w:b/>
                <w:sz w:val="20"/>
              </w:rPr>
              <w:t>Financial Year</w:t>
            </w:r>
          </w:p>
        </w:tc>
        <w:tc>
          <w:tcPr>
            <w:tcW w:type="dxa" w:w="1872"/>
            <w:tcMar>
              <w:top w:w="100" w:type="dxa"/>
              <w:bottom w:w="100" w:type="dxa"/>
              <w:left w:w="150" w:type="dxa"/>
              <w:right w:w="150" w:type="dxa"/>
            </w:tcMar>
            <w:shd w:fill="EAEAEA"/>
          </w:tcPr>
          <w:p>
            <w:pPr>
              <w:spacing w:after="40"/>
              <w:jc w:val="left"/>
            </w:pPr>
            <w:r>
              <w:rPr>
                <w:rFonts w:ascii="Times New Roman" w:hAnsi="Times New Roman"/>
                <w:b/>
                <w:sz w:val="20"/>
              </w:rPr>
              <w:t>Tax Period</w:t>
            </w:r>
          </w:p>
        </w:tc>
        <w:tc>
          <w:tcPr>
            <w:tcW w:type="dxa" w:w="1872"/>
            <w:tcMar>
              <w:top w:w="100" w:type="dxa"/>
              <w:bottom w:w="100" w:type="dxa"/>
              <w:left w:w="150" w:type="dxa"/>
              <w:right w:w="150" w:type="dxa"/>
            </w:tcMar>
            <w:shd w:fill="EAEAEA"/>
          </w:tcPr>
          <w:p>
            <w:pPr>
              <w:spacing w:after="40"/>
              <w:jc w:val="left"/>
            </w:pPr>
            <w:r>
              <w:rPr>
                <w:rFonts w:ascii="Times New Roman" w:hAnsi="Times New Roman"/>
                <w:b/>
                <w:sz w:val="20"/>
              </w:rPr>
              <w:t>GSTR-1 Filing Date</w:t>
            </w:r>
          </w:p>
        </w:tc>
        <w:tc>
          <w:tcPr>
            <w:tcW w:type="dxa" w:w="1872"/>
            <w:tcMar>
              <w:top w:w="100" w:type="dxa"/>
              <w:bottom w:w="100" w:type="dxa"/>
              <w:left w:w="150" w:type="dxa"/>
              <w:right w:w="150" w:type="dxa"/>
            </w:tcMar>
            <w:shd w:fill="EAEAEA"/>
          </w:tcPr>
          <w:p>
            <w:pPr>
              <w:spacing w:after="40"/>
              <w:jc w:val="left"/>
            </w:pPr>
            <w:r>
              <w:rPr>
                <w:rFonts w:ascii="Times New Roman" w:hAnsi="Times New Roman"/>
                <w:b/>
                <w:sz w:val="20"/>
              </w:rPr>
              <w:t>Late Fee Auto-Pop</w:t>
            </w:r>
          </w:p>
        </w:tc>
        <w:tc>
          <w:tcPr>
            <w:tcW w:type="dxa" w:w="1872"/>
            <w:tcMar>
              <w:top w:w="100" w:type="dxa"/>
              <w:bottom w:w="100" w:type="dxa"/>
              <w:left w:w="150" w:type="dxa"/>
              <w:right w:w="150" w:type="dxa"/>
            </w:tcMar>
            <w:shd w:fill="EAEAEA"/>
          </w:tcPr>
          <w:p>
            <w:pPr>
              <w:spacing w:after="40"/>
              <w:jc w:val="left"/>
            </w:pPr>
            <w:r>
              <w:rPr>
                <w:rFonts w:ascii="Times New Roman" w:hAnsi="Times New Roman"/>
                <w:b/>
                <w:sz w:val="20"/>
              </w:rPr>
              <w:t>Paid via GSTR-3B</w:t>
            </w:r>
          </w:p>
        </w:tc>
      </w:tr>
      <w:tr>
        <w:tc>
          <w:tcPr>
            <w:tcW w:type="dxa" w:w="1872"/>
            <w:tcMar>
              <w:top w:w="100" w:type="dxa"/>
              <w:bottom w:w="100" w:type="dxa"/>
              <w:left w:w="150" w:type="dxa"/>
              <w:right w:w="150" w:type="dxa"/>
            </w:tcMar>
          </w:tcPr>
          <w:p>
            <w:pPr>
              <w:spacing w:after="40"/>
              <w:jc w:val="left"/>
            </w:pPr>
            <w:r>
              <w:rPr>
                <w:rFonts w:ascii="Times New Roman" w:hAnsi="Times New Roman"/>
                <w:sz w:val="20"/>
              </w:rPr>
              <w:t>FY 2020-21</w:t>
            </w:r>
          </w:p>
        </w:tc>
        <w:tc>
          <w:tcPr>
            <w:tcW w:type="dxa" w:w="1872"/>
            <w:tcMar>
              <w:top w:w="100" w:type="dxa"/>
              <w:bottom w:w="100" w:type="dxa"/>
              <w:left w:w="150" w:type="dxa"/>
              <w:right w:w="150" w:type="dxa"/>
            </w:tcMar>
          </w:tcPr>
          <w:p>
            <w:pPr>
              <w:spacing w:after="40"/>
              <w:jc w:val="left"/>
            </w:pPr>
            <w:r>
              <w:rPr>
                <w:rFonts w:ascii="Times New Roman" w:hAnsi="Times New Roman"/>
                <w:sz w:val="20"/>
              </w:rPr>
              <w:t>July 2020</w:t>
            </w:r>
          </w:p>
        </w:tc>
        <w:tc>
          <w:tcPr>
            <w:tcW w:type="dxa" w:w="1872"/>
            <w:tcMar>
              <w:top w:w="100" w:type="dxa"/>
              <w:bottom w:w="100" w:type="dxa"/>
              <w:left w:w="150" w:type="dxa"/>
              <w:right w:w="150" w:type="dxa"/>
            </w:tcMar>
          </w:tcPr>
          <w:p>
            <w:pPr>
              <w:spacing w:after="40"/>
              <w:jc w:val="left"/>
            </w:pPr>
            <w:r>
              <w:rPr>
                <w:rFonts w:ascii="Times New Roman" w:hAnsi="Times New Roman"/>
                <w:sz w:val="20"/>
              </w:rPr>
              <w:t>24/08/2020</w:t>
            </w:r>
          </w:p>
        </w:tc>
        <w:tc>
          <w:tcPr>
            <w:tcW w:type="dxa" w:w="1872"/>
            <w:tcMar>
              <w:top w:w="100" w:type="dxa"/>
              <w:bottom w:w="100" w:type="dxa"/>
              <w:left w:w="150" w:type="dxa"/>
              <w:right w:w="150" w:type="dxa"/>
            </w:tcMar>
          </w:tcPr>
          <w:p>
            <w:pPr>
              <w:spacing w:after="40"/>
              <w:jc w:val="left"/>
            </w:pPr>
            <w:r>
              <w:rPr>
                <w:rFonts w:ascii="Times New Roman" w:hAnsi="Times New Roman"/>
                <w:sz w:val="20"/>
              </w:rPr>
              <w:t>Rs. 500 (Cash)</w:t>
            </w:r>
          </w:p>
        </w:tc>
        <w:tc>
          <w:tcPr>
            <w:tcW w:type="dxa" w:w="1872"/>
            <w:tcMar>
              <w:top w:w="100" w:type="dxa"/>
              <w:bottom w:w="100" w:type="dxa"/>
              <w:left w:w="150" w:type="dxa"/>
              <w:right w:w="150" w:type="dxa"/>
            </w:tcMar>
          </w:tcPr>
          <w:p>
            <w:pPr>
              <w:spacing w:after="40"/>
              <w:jc w:val="left"/>
            </w:pPr>
            <w:r>
              <w:rPr>
                <w:rFonts w:ascii="Times New Roman" w:hAnsi="Times New Roman"/>
                <w:sz w:val="20"/>
              </w:rPr>
              <w:t>Paid (Challan #102)</w:t>
            </w:r>
          </w:p>
        </w:tc>
      </w:tr>
      <w:tr>
        <w:tc>
          <w:tcPr>
            <w:tcW w:type="dxa" w:w="1872"/>
            <w:tcMar>
              <w:top w:w="100" w:type="dxa"/>
              <w:bottom w:w="100" w:type="dxa"/>
              <w:left w:w="150" w:type="dxa"/>
              <w:right w:w="150" w:type="dxa"/>
            </w:tcMar>
          </w:tcPr>
          <w:p>
            <w:pPr>
              <w:spacing w:after="40"/>
              <w:jc w:val="left"/>
            </w:pPr>
            <w:r>
              <w:rPr>
                <w:rFonts w:ascii="Times New Roman" w:hAnsi="Times New Roman"/>
                <w:sz w:val="20"/>
              </w:rPr>
              <w:t>FY 2020-21</w:t>
            </w:r>
          </w:p>
        </w:tc>
        <w:tc>
          <w:tcPr>
            <w:tcW w:type="dxa" w:w="1872"/>
            <w:tcMar>
              <w:top w:w="100" w:type="dxa"/>
              <w:bottom w:w="100" w:type="dxa"/>
              <w:left w:w="150" w:type="dxa"/>
              <w:right w:w="150" w:type="dxa"/>
            </w:tcMar>
          </w:tcPr>
          <w:p>
            <w:pPr>
              <w:spacing w:after="40"/>
              <w:jc w:val="left"/>
            </w:pPr>
            <w:r>
              <w:rPr>
                <w:rFonts w:ascii="Times New Roman" w:hAnsi="Times New Roman"/>
                <w:sz w:val="20"/>
              </w:rPr>
              <w:t>November 2020</w:t>
            </w:r>
          </w:p>
        </w:tc>
        <w:tc>
          <w:tcPr>
            <w:tcW w:type="dxa" w:w="1872"/>
            <w:tcMar>
              <w:top w:w="100" w:type="dxa"/>
              <w:bottom w:w="100" w:type="dxa"/>
              <w:left w:w="150" w:type="dxa"/>
              <w:right w:w="150" w:type="dxa"/>
            </w:tcMar>
          </w:tcPr>
          <w:p>
            <w:pPr>
              <w:spacing w:after="40"/>
              <w:jc w:val="left"/>
            </w:pPr>
            <w:r>
              <w:rPr>
                <w:rFonts w:ascii="Times New Roman" w:hAnsi="Times New Roman"/>
                <w:sz w:val="20"/>
              </w:rPr>
              <w:t>18/12/2020</w:t>
            </w:r>
          </w:p>
        </w:tc>
        <w:tc>
          <w:tcPr>
            <w:tcW w:type="dxa" w:w="1872"/>
            <w:tcMar>
              <w:top w:w="100" w:type="dxa"/>
              <w:bottom w:w="100" w:type="dxa"/>
              <w:left w:w="150" w:type="dxa"/>
              <w:right w:w="150" w:type="dxa"/>
            </w:tcMar>
          </w:tcPr>
          <w:p>
            <w:pPr>
              <w:spacing w:after="40"/>
              <w:jc w:val="left"/>
            </w:pPr>
            <w:r>
              <w:rPr>
                <w:rFonts w:ascii="Times New Roman" w:hAnsi="Times New Roman"/>
                <w:sz w:val="20"/>
              </w:rPr>
              <w:t>Rs. 250 (Cash)</w:t>
            </w:r>
          </w:p>
        </w:tc>
        <w:tc>
          <w:tcPr>
            <w:tcW w:type="dxa" w:w="1872"/>
            <w:tcMar>
              <w:top w:w="100" w:type="dxa"/>
              <w:bottom w:w="100" w:type="dxa"/>
              <w:left w:w="150" w:type="dxa"/>
              <w:right w:w="150" w:type="dxa"/>
            </w:tcMar>
          </w:tcPr>
          <w:p>
            <w:pPr>
              <w:spacing w:after="40"/>
              <w:jc w:val="left"/>
            </w:pPr>
            <w:r>
              <w:rPr>
                <w:rFonts w:ascii="Times New Roman" w:hAnsi="Times New Roman"/>
                <w:sz w:val="20"/>
              </w:rPr>
              <w:t>Paid (Challan #188)</w:t>
            </w:r>
          </w:p>
        </w:tc>
      </w:tr>
      <w:tr>
        <w:tc>
          <w:tcPr>
            <w:tcW w:type="dxa" w:w="1872"/>
            <w:tcMar>
              <w:top w:w="100" w:type="dxa"/>
              <w:bottom w:w="100" w:type="dxa"/>
              <w:left w:w="150" w:type="dxa"/>
              <w:right w:w="150" w:type="dxa"/>
            </w:tcMar>
          </w:tcPr>
          <w:p>
            <w:pPr>
              <w:spacing w:after="40"/>
              <w:jc w:val="left"/>
            </w:pPr>
            <w:r>
              <w:rPr>
                <w:rFonts w:ascii="Times New Roman" w:hAnsi="Times New Roman"/>
                <w:sz w:val="20"/>
              </w:rPr>
              <w:t>FY 2021-22</w:t>
            </w:r>
          </w:p>
        </w:tc>
        <w:tc>
          <w:tcPr>
            <w:tcW w:type="dxa" w:w="1872"/>
            <w:tcMar>
              <w:top w:w="100" w:type="dxa"/>
              <w:bottom w:w="100" w:type="dxa"/>
              <w:left w:w="150" w:type="dxa"/>
              <w:right w:w="150" w:type="dxa"/>
            </w:tcMar>
          </w:tcPr>
          <w:p>
            <w:pPr>
              <w:spacing w:after="40"/>
              <w:jc w:val="left"/>
            </w:pPr>
            <w:r>
              <w:rPr>
                <w:rFonts w:ascii="Times New Roman" w:hAnsi="Times New Roman"/>
                <w:sz w:val="20"/>
              </w:rPr>
              <w:t>May 2021</w:t>
            </w:r>
          </w:p>
        </w:tc>
        <w:tc>
          <w:tcPr>
            <w:tcW w:type="dxa" w:w="1872"/>
            <w:tcMar>
              <w:top w:w="100" w:type="dxa"/>
              <w:bottom w:w="100" w:type="dxa"/>
              <w:left w:w="150" w:type="dxa"/>
              <w:right w:w="150" w:type="dxa"/>
            </w:tcMar>
          </w:tcPr>
          <w:p>
            <w:pPr>
              <w:spacing w:after="40"/>
              <w:jc w:val="left"/>
            </w:pPr>
            <w:r>
              <w:rPr>
                <w:rFonts w:ascii="Times New Roman" w:hAnsi="Times New Roman"/>
                <w:sz w:val="20"/>
              </w:rPr>
              <w:t>28/06/2021</w:t>
            </w:r>
          </w:p>
        </w:tc>
        <w:tc>
          <w:tcPr>
            <w:tcW w:type="dxa" w:w="1872"/>
            <w:tcMar>
              <w:top w:w="100" w:type="dxa"/>
              <w:bottom w:w="100" w:type="dxa"/>
              <w:left w:w="150" w:type="dxa"/>
              <w:right w:w="150" w:type="dxa"/>
            </w:tcMar>
          </w:tcPr>
          <w:p>
            <w:pPr>
              <w:spacing w:after="40"/>
              <w:jc w:val="left"/>
            </w:pPr>
            <w:r>
              <w:rPr>
                <w:rFonts w:ascii="Times New Roman" w:hAnsi="Times New Roman"/>
                <w:sz w:val="20"/>
              </w:rPr>
              <w:t>Rs. 500 (Cash)</w:t>
            </w:r>
          </w:p>
        </w:tc>
        <w:tc>
          <w:tcPr>
            <w:tcW w:type="dxa" w:w="1872"/>
            <w:tcMar>
              <w:top w:w="100" w:type="dxa"/>
              <w:bottom w:w="100" w:type="dxa"/>
              <w:left w:w="150" w:type="dxa"/>
              <w:right w:w="150" w:type="dxa"/>
            </w:tcMar>
          </w:tcPr>
          <w:p>
            <w:pPr>
              <w:spacing w:after="40"/>
              <w:jc w:val="left"/>
            </w:pPr>
            <w:r>
              <w:rPr>
                <w:rFonts w:ascii="Times New Roman" w:hAnsi="Times New Roman"/>
                <w:sz w:val="20"/>
              </w:rPr>
              <w:t>Paid (Challan #304)</w:t>
            </w:r>
          </w:p>
        </w:tc>
      </w:tr>
      <w:tr>
        <w:tc>
          <w:tcPr>
            <w:tcW w:type="dxa" w:w="1872"/>
            <w:tcMar>
              <w:top w:w="100" w:type="dxa"/>
              <w:bottom w:w="100" w:type="dxa"/>
              <w:left w:w="150" w:type="dxa"/>
              <w:right w:w="150" w:type="dxa"/>
            </w:tcMar>
          </w:tcPr>
          <w:p>
            <w:pPr>
              <w:spacing w:after="40"/>
              <w:jc w:val="left"/>
            </w:pPr>
            <w:r>
              <w:rPr>
                <w:rFonts w:ascii="Times New Roman" w:hAnsi="Times New Roman"/>
                <w:sz w:val="20"/>
              </w:rPr>
              <w:t>FY 2022-23</w:t>
            </w:r>
          </w:p>
        </w:tc>
        <w:tc>
          <w:tcPr>
            <w:tcW w:type="dxa" w:w="1872"/>
            <w:tcMar>
              <w:top w:w="100" w:type="dxa"/>
              <w:bottom w:w="100" w:type="dxa"/>
              <w:left w:w="150" w:type="dxa"/>
              <w:right w:w="150" w:type="dxa"/>
            </w:tcMar>
          </w:tcPr>
          <w:p>
            <w:pPr>
              <w:spacing w:after="40"/>
              <w:jc w:val="left"/>
            </w:pPr>
            <w:r>
              <w:rPr>
                <w:rFonts w:ascii="Times New Roman" w:hAnsi="Times New Roman"/>
                <w:sz w:val="20"/>
              </w:rPr>
              <w:t>October 2022</w:t>
            </w:r>
          </w:p>
        </w:tc>
        <w:tc>
          <w:tcPr>
            <w:tcW w:type="dxa" w:w="1872"/>
            <w:tcMar>
              <w:top w:w="100" w:type="dxa"/>
              <w:bottom w:w="100" w:type="dxa"/>
              <w:left w:w="150" w:type="dxa"/>
              <w:right w:w="150" w:type="dxa"/>
            </w:tcMar>
          </w:tcPr>
          <w:p>
            <w:pPr>
              <w:spacing w:after="40"/>
              <w:jc w:val="left"/>
            </w:pPr>
            <w:r>
              <w:rPr>
                <w:rFonts w:ascii="Times New Roman" w:hAnsi="Times New Roman"/>
                <w:sz w:val="20"/>
              </w:rPr>
              <w:t>22/11/2022</w:t>
            </w:r>
          </w:p>
        </w:tc>
        <w:tc>
          <w:tcPr>
            <w:tcW w:type="dxa" w:w="1872"/>
            <w:tcMar>
              <w:top w:w="100" w:type="dxa"/>
              <w:bottom w:w="100" w:type="dxa"/>
              <w:left w:w="150" w:type="dxa"/>
              <w:right w:w="150" w:type="dxa"/>
            </w:tcMar>
          </w:tcPr>
          <w:p>
            <w:pPr>
              <w:spacing w:after="40"/>
              <w:jc w:val="left"/>
            </w:pPr>
            <w:r>
              <w:rPr>
                <w:rFonts w:ascii="Times New Roman" w:hAnsi="Times New Roman"/>
                <w:sz w:val="20"/>
              </w:rPr>
              <w:t>Rs. 250 (Cash)</w:t>
            </w:r>
          </w:p>
        </w:tc>
        <w:tc>
          <w:tcPr>
            <w:tcW w:type="dxa" w:w="1872"/>
            <w:tcMar>
              <w:top w:w="100" w:type="dxa"/>
              <w:bottom w:w="100" w:type="dxa"/>
              <w:left w:w="150" w:type="dxa"/>
              <w:right w:w="150" w:type="dxa"/>
            </w:tcMar>
          </w:tcPr>
          <w:p>
            <w:pPr>
              <w:spacing w:after="40"/>
              <w:jc w:val="left"/>
            </w:pPr>
            <w:r>
              <w:rPr>
                <w:rFonts w:ascii="Times New Roman" w:hAnsi="Times New Roman"/>
                <w:sz w:val="20"/>
              </w:rPr>
              <w:t>Paid (Challan #411)</w:t>
            </w:r>
          </w:p>
        </w:tc>
      </w:tr>
    </w:tbl>
    <w:p/>
    <w:p>
      <w:pPr>
        <w:spacing w:after="120" w:line="324" w:lineRule="auto"/>
        <w:jc w:val="both"/>
      </w:pPr>
      <w:r>
        <w:rPr>
          <w:rFonts w:ascii="Times New Roman" w:hAnsi="Times New Roman"/>
          <w:b/>
        </w:rPr>
        <w:t xml:space="preserve">2.4. </w:t>
      </w:r>
      <w:r>
        <w:rPr>
          <w:rFonts w:ascii="Times New Roman" w:hAnsi="Times New Roman"/>
        </w:rPr>
        <w:t>Statutory Ground:</w:t>
      </w:r>
    </w:p>
    <w:p>
      <w:pPr>
        <w:spacing w:after="120" w:line="324" w:lineRule="auto"/>
        <w:jc w:val="both"/>
      </w:pPr>
      <w:r>
        <w:rPr>
          <w:rFonts w:ascii="Times New Roman" w:hAnsi="Times New Roman"/>
        </w:rPr>
        <w:t>Section 47(1) of the CGST Act explicitly provides for late fee computation for delays in furnishing returns. Since the full quantum of late fees calculated by the GSTN system was discharged through valid Electronic Cash Ledger debits, the proposal in Audit Para 1 to demand additional late fees is factually unsustainable and deserves to be vacated.</w:t>
      </w:r>
    </w:p>
    <w:p>
      <w:pPr>
        <w:spacing w:after="120" w:line="324" w:lineRule="auto"/>
        <w:jc w:val="both"/>
      </w:pPr>
      <w:r>
        <w:rPr>
          <w:rFonts w:ascii="Times New Roman" w:hAnsi="Times New Roman"/>
          <w:b/>
        </w:rPr>
        <w:t xml:space="preserve">3. </w:t>
      </w:r>
      <w:r>
        <w:rPr>
          <w:rFonts w:ascii="Times New Roman" w:hAnsi="Times New Roman"/>
        </w:rPr>
        <w:t>COMPREHENSIVE REBUTTAL TO AUDIT PARA 2:</w:t>
      </w:r>
    </w:p>
    <w:p>
      <w:pPr>
        <w:spacing w:after="120" w:line="324" w:lineRule="auto"/>
        <w:jc w:val="both"/>
      </w:pPr>
      <w:r>
        <w:rPr>
          <w:rFonts w:ascii="Times New Roman" w:hAnsi="Times New Roman"/>
        </w:rPr>
        <w:t>PROPOSED ITC REVERSAL ON GSTR-3B VS. GSTR-2A/2B MISMATCHES</w:t>
      </w:r>
    </w:p>
    <w:p>
      <w:pPr>
        <w:spacing w:after="120" w:line="324" w:lineRule="auto"/>
        <w:jc w:val="both"/>
      </w:pPr>
      <w:r>
        <w:rPr>
          <w:rFonts w:ascii="Times New Roman" w:hAnsi="Times New Roman"/>
          <w:b/>
        </w:rPr>
        <w:t xml:space="preserve">3.1. </w:t>
      </w:r>
      <w:r>
        <w:rPr>
          <w:rFonts w:ascii="Times New Roman" w:hAnsi="Times New Roman"/>
        </w:rPr>
        <w:t>Audit Observation Summary:</w:t>
      </w:r>
    </w:p>
    <w:p>
      <w:pPr>
        <w:spacing w:after="120" w:line="324" w:lineRule="auto"/>
        <w:jc w:val="both"/>
      </w:pPr>
      <w:r>
        <w:rPr>
          <w:rFonts w:ascii="Times New Roman" w:hAnsi="Times New Roman"/>
        </w:rPr>
        <w:t>Audit Para 2 proposes reversal of Input Tax Credit (ITC) claimed by the Taxpayer in Form GSTR-3B on the grounds that the ITC availed in GSTR-3B exceeds the auto-populated figures appearing in Form GSTR-2A / Form GSTR-2B during FY 2020-21, FY 2021-22, and FY 2022-23, alleging non-compliance with Section 16(2)(aa) and Rule 36(4) of the CGST Rules, 2017.</w:t>
      </w:r>
    </w:p>
    <w:p>
      <w:pPr>
        <w:spacing w:after="120" w:line="324" w:lineRule="auto"/>
        <w:jc w:val="both"/>
      </w:pPr>
      <w:r>
        <w:rPr>
          <w:rFonts w:ascii="Times New Roman" w:hAnsi="Times New Roman"/>
          <w:b/>
        </w:rPr>
        <w:t xml:space="preserve">3.2. </w:t>
      </w:r>
      <w:r>
        <w:rPr>
          <w:rFonts w:ascii="Times New Roman" w:hAnsi="Times New Roman"/>
        </w:rPr>
        <w:t>Full Satisfaction of Mandatory Conditions under Section 16(2) of the CGST Act:</w:t>
      </w:r>
    </w:p>
    <w:p>
      <w:pPr>
        <w:spacing w:after="120" w:line="324" w:lineRule="auto"/>
        <w:jc w:val="both"/>
      </w:pPr>
      <w:r>
        <w:rPr>
          <w:rFonts w:ascii="Times New Roman" w:hAnsi="Times New Roman"/>
        </w:rPr>
        <w:t>The Taxpayer submits that all Input Tax Credit claimed in Form GSTR-3B strictly satisfies the four mandatory statutory tests mandated by Section 16(2) of the CGST Act, 2017:</w:t>
      </w:r>
    </w:p>
    <w:p>
      <w:pPr>
        <w:spacing w:after="120" w:line="324" w:lineRule="auto"/>
        <w:jc w:val="both"/>
      </w:pPr>
      <w:r>
        <w:rPr>
          <w:rFonts w:ascii="Times New Roman" w:hAnsi="Times New Roman"/>
          <w:b/>
        </w:rPr>
        <w:t xml:space="preserve">(i) </w:t>
      </w:r>
      <w:r>
        <w:rPr>
          <w:rFonts w:ascii="Times New Roman" w:hAnsi="Times New Roman"/>
        </w:rPr>
        <w:t>Section 16(2)(a) - Possession of Tax Invoice: The Taxpayer was in physical possession of valid tax invoices and debit notes issued by registered suppliers containing all particulars prescribed under Rule 46 of the CGST Rules.</w:t>
      </w:r>
    </w:p>
    <w:p>
      <w:pPr>
        <w:spacing w:after="120" w:line="324" w:lineRule="auto"/>
        <w:jc w:val="both"/>
      </w:pPr>
      <w:r>
        <w:rPr>
          <w:rFonts w:ascii="Times New Roman" w:hAnsi="Times New Roman"/>
          <w:b/>
        </w:rPr>
        <w:t xml:space="preserve">(ii) </w:t>
      </w:r>
      <w:r>
        <w:rPr>
          <w:rFonts w:ascii="Times New Roman" w:hAnsi="Times New Roman"/>
        </w:rPr>
        <w:t>Section 16(2)(b) - Physical Receipt of Goods/Services: All goods (cement, steel, construction equipment) and contract services were physically received at construction sites and duly accounted for in stock and measurement books.</w:t>
      </w:r>
    </w:p>
    <w:p>
      <w:pPr>
        <w:spacing w:after="120" w:line="324" w:lineRule="auto"/>
        <w:jc w:val="both"/>
      </w:pPr>
      <w:r>
        <w:rPr>
          <w:rFonts w:ascii="Times New Roman" w:hAnsi="Times New Roman"/>
          <w:b/>
        </w:rPr>
        <w:t xml:space="preserve">(iii) </w:t>
      </w:r>
      <w:r>
        <w:rPr>
          <w:rFonts w:ascii="Times New Roman" w:hAnsi="Times New Roman"/>
        </w:rPr>
        <w:t>Section 16(2)(c) - Tax Paid to the Government: The Taxpayer remitted the full invoice consideration, including the GST component, to the respective suppliers through regular banking channels (RTGS/NEFT).</w:t>
      </w:r>
    </w:p>
    <w:p>
      <w:pPr>
        <w:spacing w:after="120" w:line="324" w:lineRule="auto"/>
        <w:jc w:val="both"/>
      </w:pPr>
      <w:r>
        <w:rPr>
          <w:rFonts w:ascii="Times New Roman" w:hAnsi="Times New Roman"/>
          <w:b/>
        </w:rPr>
        <w:t xml:space="preserve">(iv) </w:t>
      </w:r>
      <w:r>
        <w:rPr>
          <w:rFonts w:ascii="Times New Roman" w:hAnsi="Times New Roman"/>
        </w:rPr>
        <w:t>Section 16(2)(d) - Return Filed under Section 39: The Taxpayer duly furnished monthly returns in Form GSTR-3B under Section 39.</w:t>
      </w:r>
    </w:p>
    <w:p>
      <w:pPr>
        <w:spacing w:after="120" w:line="324" w:lineRule="auto"/>
        <w:jc w:val="both"/>
      </w:pPr>
      <w:r>
        <w:rPr>
          <w:rFonts w:ascii="Times New Roman" w:hAnsi="Times New Roman"/>
          <w:b/>
        </w:rPr>
        <w:t xml:space="preserve">3.3. </w:t>
      </w:r>
      <w:r>
        <w:rPr>
          <w:rFonts w:ascii="Times New Roman" w:hAnsi="Times New Roman"/>
        </w:rPr>
        <w:t>Binding Application of CBIC Circular No. 183/15/2022-GST:</w:t>
      </w:r>
    </w:p>
    <w:p>
      <w:pPr>
        <w:spacing w:after="120" w:line="324" w:lineRule="auto"/>
        <w:jc w:val="both"/>
      </w:pPr>
      <w:r>
        <w:rPr>
          <w:rFonts w:ascii="Times New Roman" w:hAnsi="Times New Roman"/>
          <w:b/>
        </w:rPr>
        <w:t xml:space="preserve">(a) </w:t>
      </w:r>
      <w:r>
        <w:rPr>
          <w:rFonts w:ascii="Times New Roman" w:hAnsi="Times New Roman"/>
        </w:rPr>
        <w:t>The Central Board of Indirect Taxes and Customs (CBIC) issued Circular No. 183/15/2022-GST dated 27th December 2022 specifically addressing the operational difficulties faced by taxpayers regarding GSTR-3B vs GSTR-2A mismatches.</w:t>
      </w:r>
    </w:p>
    <w:p>
      <w:pPr>
        <w:spacing w:after="120" w:line="324" w:lineRule="auto"/>
        <w:jc w:val="both"/>
      </w:pPr>
      <w:r>
        <w:rPr>
          <w:rFonts w:ascii="Times New Roman" w:hAnsi="Times New Roman"/>
          <w:b/>
        </w:rPr>
        <w:t xml:space="preserve">(b) </w:t>
      </w:r>
      <w:r>
        <w:rPr>
          <w:rFonts w:ascii="Times New Roman" w:hAnsi="Times New Roman"/>
        </w:rPr>
        <w:t>The Circular clarifies that Form GSTR-2A was merely a dynamic view statement. Mismatches frequently occurred due to bona fide reasons, such as:</w:t>
      </w:r>
    </w:p>
    <w:p>
      <w:pPr>
        <w:spacing w:after="120" w:line="324" w:lineRule="auto"/>
        <w:jc w:val="both"/>
      </w:pPr>
      <w:r>
        <w:rPr>
          <w:rFonts w:ascii="Times New Roman" w:hAnsi="Times New Roman"/>
        </w:rPr>
        <w:t>- Supplier inadvertently filing GSTR-1 under wrong GSTIN.</w:t>
      </w:r>
    </w:p>
    <w:p>
      <w:pPr>
        <w:spacing w:after="120" w:line="324" w:lineRule="auto"/>
        <w:jc w:val="both"/>
      </w:pPr>
      <w:r>
        <w:rPr>
          <w:rFonts w:ascii="Times New Roman" w:hAnsi="Times New Roman"/>
        </w:rPr>
        <w:t>- Supplier declaring supply in B2C table instead of B2B table.</w:t>
      </w:r>
    </w:p>
    <w:p>
      <w:pPr>
        <w:spacing w:after="120" w:line="324" w:lineRule="auto"/>
        <w:jc w:val="both"/>
      </w:pPr>
      <w:r>
        <w:rPr>
          <w:rFonts w:ascii="Times New Roman" w:hAnsi="Times New Roman"/>
        </w:rPr>
        <w:t>- Supplier filing GSTR-1 after the tax period cut-off date.</w:t>
      </w:r>
    </w:p>
    <w:p>
      <w:pPr>
        <w:spacing w:after="120" w:line="324" w:lineRule="auto"/>
        <w:jc w:val="both"/>
      </w:pPr>
      <w:r>
        <w:rPr>
          <w:rFonts w:ascii="Times New Roman" w:hAnsi="Times New Roman"/>
          <w:b/>
        </w:rPr>
        <w:t xml:space="preserve">(c) </w:t>
      </w:r>
      <w:r>
        <w:rPr>
          <w:rFonts w:ascii="Times New Roman" w:hAnsi="Times New Roman"/>
        </w:rPr>
        <w:t>In terms of paragraph 4 of Circular 183/15/2022-GST, where the difference per supplier exceeds Rs. 5 Lakhs, the Taxpayer has obtained Chartered Accountant (CA) Certificates certifying actual tax payment by suppliers. Where the difference is less than Rs. 5 Lakhs, self-certificates and supplier invoices have been verified.</w:t>
      </w:r>
    </w:p>
    <w:p>
      <w:pPr>
        <w:spacing w:after="120" w:line="324" w:lineRule="auto"/>
        <w:jc w:val="both"/>
      </w:pPr>
      <w:r>
        <w:rPr>
          <w:rFonts w:ascii="Times New Roman" w:hAnsi="Times New Roman"/>
          <w:b/>
        </w:rPr>
        <w:t xml:space="preserve">3.4. </w:t>
      </w:r>
      <w:r>
        <w:rPr>
          <w:rFonts w:ascii="Times New Roman" w:hAnsi="Times New Roman"/>
        </w:rPr>
        <w:t>Binding Judicial Precedents – Protection of Bona Fide Recipient:</w:t>
      </w:r>
    </w:p>
    <w:p>
      <w:pPr>
        <w:spacing w:after="120" w:line="324" w:lineRule="auto"/>
        <w:jc w:val="both"/>
      </w:pPr>
      <w:r>
        <w:rPr>
          <w:rFonts w:ascii="Times New Roman" w:hAnsi="Times New Roman"/>
          <w:b/>
        </w:rPr>
        <w:t xml:space="preserve">(a) </w:t>
      </w:r>
      <w:r>
        <w:rPr>
          <w:rFonts w:ascii="Times New Roman" w:hAnsi="Times New Roman"/>
        </w:rPr>
        <w:t>Hon'ble Calcutta High Court in Suncraft Energy Venture Ltd. v. Assistant Commissioner of State Tax (MAT 1218 of 2023, Judgment dated 02.08.2023):</w:t>
      </w:r>
    </w:p>
    <w:p>
      <w:pPr>
        <w:spacing w:after="120" w:line="324" w:lineRule="auto"/>
        <w:jc w:val="both"/>
      </w:pPr>
      <w:r>
        <w:rPr>
          <w:rFonts w:ascii="Times New Roman" w:hAnsi="Times New Roman"/>
        </w:rPr>
        <w:t>The High Court explicitly held that the Tax Authorities cannot demand reversal of ITC from a purchasing recipient without first investigating and exhausting recovery proceedings against the selling supplier who failed to deposit the tax. The Court observed:</w:t>
      </w:r>
    </w:p>
    <w:p>
      <w:pPr>
        <w:spacing w:after="120" w:line="324" w:lineRule="auto"/>
        <w:jc w:val="both"/>
      </w:pPr>
      <w:r>
        <w:rPr>
          <w:rFonts w:ascii="Times New Roman" w:hAnsi="Times New Roman"/>
        </w:rPr>
        <w:t>"Before directing the recipient to reverse ITC, the department must proceed against the supplier. Only in exceptional circumstances, such as collusion or vendor non-existence, can action be taken against the recipient."</w:t>
      </w:r>
    </w:p>
    <w:p>
      <w:pPr>
        <w:spacing w:after="120" w:line="324" w:lineRule="auto"/>
        <w:jc w:val="both"/>
      </w:pPr>
      <w:r>
        <w:rPr>
          <w:rFonts w:ascii="Times New Roman" w:hAnsi="Times New Roman"/>
          <w:b/>
        </w:rPr>
        <w:t xml:space="preserve">(b) </w:t>
      </w:r>
      <w:r>
        <w:rPr>
          <w:rFonts w:ascii="Times New Roman" w:hAnsi="Times New Roman"/>
        </w:rPr>
        <w:t>Hon'ble Madras High Court in D.Y. Beathel Enterprises v. State Tax Officer (W.P.(MD) No. 2127 of 2021):</w:t>
      </w:r>
    </w:p>
    <w:p>
      <w:pPr>
        <w:spacing w:after="120" w:line="324" w:lineRule="auto"/>
        <w:jc w:val="both"/>
      </w:pPr>
      <w:r>
        <w:rPr>
          <w:rFonts w:ascii="Times New Roman" w:hAnsi="Times New Roman"/>
        </w:rPr>
        <w:t>The Hon'ble High Court set aside the demand order passed against the recipient for GSTR-2A mismatch, holding that non-examination of the selling dealer and omission to initiate recovery against the defaulting seller renders the demand order legally infirm.</w:t>
      </w:r>
    </w:p>
    <w:p>
      <w:pPr>
        <w:spacing w:after="120" w:line="324" w:lineRule="auto"/>
        <w:jc w:val="both"/>
      </w:pPr>
      <w:r>
        <w:rPr>
          <w:rFonts w:ascii="Times New Roman" w:hAnsi="Times New Roman"/>
          <w:b/>
        </w:rPr>
        <w:t xml:space="preserve">(c) </w:t>
      </w:r>
      <w:r>
        <w:rPr>
          <w:rFonts w:ascii="Times New Roman" w:hAnsi="Times New Roman"/>
        </w:rPr>
        <w:t>Hon'ble Supreme Court of India in Union of India v. Bharti Airtel Ltd. [(2022) 4 SCC 340]:</w:t>
      </w:r>
    </w:p>
    <w:p>
      <w:pPr>
        <w:spacing w:after="120" w:line="324" w:lineRule="auto"/>
        <w:jc w:val="both"/>
      </w:pPr>
      <w:r>
        <w:rPr>
          <w:rFonts w:ascii="Times New Roman" w:hAnsi="Times New Roman"/>
        </w:rPr>
        <w:t>The Apex Court affirmed that GSTR-2A is merely a facilitator and not the primary statutory determinant of ITC entitlement under Section 16.</w:t>
      </w:r>
    </w:p>
    <w:p>
      <w:pPr>
        <w:spacing w:after="120" w:line="324" w:lineRule="auto"/>
        <w:jc w:val="both"/>
      </w:pPr>
      <w:r>
        <w:rPr>
          <w:rFonts w:ascii="Times New Roman" w:hAnsi="Times New Roman"/>
          <w:b/>
        </w:rPr>
        <w:t xml:space="preserve">4. </w:t>
      </w:r>
      <w:r>
        <w:rPr>
          <w:rFonts w:ascii="Times New Roman" w:hAnsi="Times New Roman"/>
        </w:rPr>
        <w:t>PRAYER / CLOSING REQUEST</w:t>
      </w:r>
    </w:p>
    <w:p>
      <w:pPr>
        <w:spacing w:after="120" w:line="324" w:lineRule="auto"/>
        <w:jc w:val="both"/>
      </w:pPr>
      <w:r>
        <w:rPr>
          <w:rFonts w:ascii="Times New Roman" w:hAnsi="Times New Roman"/>
        </w:rPr>
        <w:t>In light of the statutory provisions under Section 16 and Section 65 of the CGST Act, 2017, the binding CBIC Circular No. 183/15/2022-GST, and the authoritative High Court judgments cited supra, the Taxpayer most respectfully prays that:</w:t>
      </w:r>
    </w:p>
    <w:p>
      <w:pPr>
        <w:spacing w:after="120" w:line="324" w:lineRule="auto"/>
        <w:jc w:val="both"/>
      </w:pPr>
      <w:r>
        <w:rPr>
          <w:rFonts w:ascii="Times New Roman" w:hAnsi="Times New Roman"/>
          <w:b/>
        </w:rPr>
        <w:t xml:space="preserve">(a) </w:t>
      </w:r>
      <w:r>
        <w:rPr>
          <w:rFonts w:ascii="Times New Roman" w:hAnsi="Times New Roman"/>
        </w:rPr>
        <w:t>AUDIT PARA 1 regarding alleged late fee liability on Form GSTR-1 be DROPPED IN FULL, as all late fees have already been remitted through Electronic Cash Ledger debits.</w:t>
      </w:r>
    </w:p>
    <w:p>
      <w:pPr>
        <w:spacing w:after="120" w:line="324" w:lineRule="auto"/>
        <w:jc w:val="both"/>
      </w:pPr>
      <w:r>
        <w:rPr>
          <w:rFonts w:ascii="Times New Roman" w:hAnsi="Times New Roman"/>
          <w:b/>
        </w:rPr>
        <w:t xml:space="preserve">(b) </w:t>
      </w:r>
      <w:r>
        <w:rPr>
          <w:rFonts w:ascii="Times New Roman" w:hAnsi="Times New Roman"/>
        </w:rPr>
        <w:t>AUDIT PARA 2 proposing reversal of Input Tax Credit on account of GSTR-3B vs GSTR-2A/2B mismatches be DROPPED IN FULL, upon verification of supplier tax invoices, payment records, and CA Certificates enclosed herewith.</w:t>
      </w:r>
    </w:p>
    <w:p>
      <w:pPr>
        <w:spacing w:after="120" w:line="324" w:lineRule="auto"/>
        <w:jc w:val="both"/>
      </w:pPr>
      <w:r>
        <w:rPr>
          <w:rFonts w:ascii="Times New Roman" w:hAnsi="Times New Roman"/>
          <w:b/>
        </w:rPr>
        <w:t xml:space="preserve">(c) </w:t>
      </w:r>
      <w:r>
        <w:rPr>
          <w:rFonts w:ascii="Times New Roman" w:hAnsi="Times New Roman"/>
        </w:rPr>
        <w:t>The audit proceedings under Section 65 of the CGST Act, 2017 for Financial Years 2020-21, 2021-22, and 2022-23 be formally closed and a final Audit Report (Form GST ADT-02) certifying NIL outstanding demand be issued.</w:t>
      </w:r>
    </w:p>
    <w:p>
      <w:pPr>
        <w:spacing w:after="120" w:line="324" w:lineRule="auto"/>
        <w:jc w:val="both"/>
      </w:pPr>
      <w:r>
        <w:rPr>
          <w:rFonts w:ascii="Times New Roman" w:hAnsi="Times New Roman"/>
        </w:rPr>
        <w:t>Place: Nashik, Maharashtra</w:t>
      </w:r>
    </w:p>
    <w:p>
      <w:pPr>
        <w:spacing w:after="120" w:line="324" w:lineRule="auto"/>
        <w:jc w:val="both"/>
      </w:pPr>
      <w:r>
        <w:rPr>
          <w:rFonts w:ascii="Times New Roman" w:hAnsi="Times New Roman"/>
        </w:rPr>
        <w:t>Date: 10th June, 2024</w:t>
      </w:r>
    </w:p>
    <w:p>
      <w:pPr>
        <w:spacing w:after="80"/>
        <w:jc w:val="right"/>
      </w:pPr>
      <w:r>
        <w:rPr>
          <w:rFonts w:ascii="Times New Roman" w:hAnsi="Times New Roman"/>
          <w:b/>
        </w:rPr>
        <w:t>For M/s J R K INFRASTRUCTURE</w:t>
      </w:r>
    </w:p>
    <w:p>
      <w:pPr>
        <w:spacing w:after="120" w:line="324" w:lineRule="auto"/>
        <w:jc w:val="both"/>
      </w:pPr>
      <w:r>
        <w:rPr>
          <w:rFonts w:ascii="Times New Roman" w:hAnsi="Times New Roman"/>
        </w:rPr>
        <w:t>(Shri Roshan Jawarilal Khatod)</w:t>
      </w:r>
    </w:p>
    <w:p>
      <w:pPr>
        <w:spacing w:after="80"/>
        <w:jc w:val="right"/>
      </w:pPr>
      <w:r>
        <w:rPr>
          <w:rFonts w:ascii="Times New Roman" w:hAnsi="Times New Roman"/>
          <w:b/>
        </w:rPr>
        <w:t>Proprietor / Authorized Signatory</w:t>
      </w:r>
    </w:p>
    <w:p>
      <w:pPr>
        <w:spacing w:before="280" w:after="120"/>
        <w:jc w:val="left"/>
      </w:pPr>
      <w:r>
        <w:rPr>
          <w:rFonts w:ascii="Times New Roman" w:hAnsi="Times New Roman"/>
          <w:b/>
          <w:sz w:val="24"/>
          <w:u w:val="single"/>
        </w:rPr>
        <w:t>LIST OF ENCLOSURES:</w:t>
      </w:r>
    </w:p>
    <w:p>
      <w:pPr>
        <w:spacing w:after="120" w:line="324" w:lineRule="auto"/>
        <w:jc w:val="both"/>
      </w:pPr>
      <w:r>
        <w:rPr>
          <w:rFonts w:ascii="Times New Roman" w:hAnsi="Times New Roman"/>
          <w:b/>
        </w:rPr>
        <w:t xml:space="preserve">1. </w:t>
      </w:r>
      <w:r>
        <w:rPr>
          <w:rFonts w:ascii="Times New Roman" w:hAnsi="Times New Roman"/>
        </w:rPr>
        <w:t>Annexure A: Period-wise GSTR-1 Filing &amp; Late Fee Payment Reconciliation Statement.</w:t>
      </w:r>
    </w:p>
    <w:p>
      <w:pPr>
        <w:spacing w:after="120" w:line="324" w:lineRule="auto"/>
        <w:jc w:val="both"/>
      </w:pPr>
      <w:r>
        <w:rPr>
          <w:rFonts w:ascii="Times New Roman" w:hAnsi="Times New Roman"/>
          <w:b/>
        </w:rPr>
        <w:t xml:space="preserve">2. </w:t>
      </w:r>
      <w:r>
        <w:rPr>
          <w:rFonts w:ascii="Times New Roman" w:hAnsi="Times New Roman"/>
        </w:rPr>
        <w:t>Annexure B: Itemized GSTR-3B vs GSTR-2A Mismatch Rebuttal Table for FY 2020-21, 2021-22 &amp; 2022-23.</w:t>
      </w:r>
    </w:p>
    <w:p>
      <w:pPr>
        <w:spacing w:after="120" w:line="324" w:lineRule="auto"/>
        <w:jc w:val="both"/>
      </w:pPr>
      <w:r>
        <w:rPr>
          <w:rFonts w:ascii="Times New Roman" w:hAnsi="Times New Roman"/>
          <w:b/>
        </w:rPr>
        <w:t xml:space="preserve">3. </w:t>
      </w:r>
      <w:r>
        <w:rPr>
          <w:rFonts w:ascii="Times New Roman" w:hAnsi="Times New Roman"/>
        </w:rPr>
        <w:t>Annexure C: Chartered Accountant Certificates issued in compliance with CBIC Circular 183/15/2022-GST.</w:t>
      </w:r>
    </w:p>
    <w:p>
      <w:pPr>
        <w:spacing w:after="120" w:line="324" w:lineRule="auto"/>
        <w:jc w:val="both"/>
      </w:pPr>
      <w:r>
        <w:rPr>
          <w:rFonts w:ascii="Times New Roman" w:hAnsi="Times New Roman"/>
          <w:b/>
        </w:rPr>
        <w:t xml:space="preserve">4. </w:t>
      </w:r>
      <w:r>
        <w:rPr>
          <w:rFonts w:ascii="Times New Roman" w:hAnsi="Times New Roman"/>
        </w:rPr>
        <w:t>Annexure D: Copies of Sample Tax Invoices, Bank Payment Vouchers, and E-Way Bills.</w:t>
      </w:r>
    </w:p>
    <w:p/>
    <w:p>
      <w:pPr>
        <w:spacing w:before="320" w:after="160"/>
        <w:jc w:val="center"/>
      </w:pPr>
      <w:r>
        <w:rPr>
          <w:rFonts w:ascii="Times New Roman" w:hAnsi="Times New Roman"/>
          <w:b/>
          <w:sz w:val="24"/>
          <w:u w:val="single"/>
        </w:rPr>
        <w:t>VERIFICATION</w:t>
      </w:r>
    </w:p>
    <w:p>
      <w:pPr>
        <w:spacing w:after="240"/>
        <w:jc w:val="both"/>
      </w:pPr>
      <w:r>
        <w:rPr>
          <w:rFonts w:ascii="Times New Roman" w:hAnsi="Times New Roman"/>
          <w:sz w:val="22"/>
        </w:rPr>
        <w:t>I, the Authorized Signatory / Partner of M/s J R K INFRASTRUCTURE, do hereby verify and declare that the contents of the above written submission are true and correct to the best of my knowledge, information, and belief derived from official business records. Nothing material has been concealed therefrom.</w:t>
      </w:r>
    </w:p>
    <w:p>
      <w:pPr>
        <w:spacing w:before="360"/>
        <w:jc w:val="right"/>
      </w:pPr>
      <w:r>
        <w:rPr>
          <w:rFonts w:ascii="Times New Roman" w:hAnsi="Times New Roman"/>
          <w:b/>
        </w:rPr>
        <w:t>For M/s J R K INFRASTRUCTURE</w:t>
        <w:br/>
        <w:br/>
        <w:t>___________________________</w:t>
        <w:br/>
        <w:t>(Authorized Signatory / Partner)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jc w:val="both"/>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