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sz w:val="36"/>
          <w:b w:val="on"/>
          <w:rFonts w:ascii="Times New Roman" w:hAnsi="Times New Roman" w:cs="Times New Roman" w:eastAsia="Times New Roman"/>
        </w:rPr>
        <w:t>development</w:t>
      </w:r>
    </w:p>
    <w:p>
      <w:pPr>
        <w:jc w:val="center"/>
      </w:pPr>
      <w:r>
        <w:rPr>
          <w:sz w:val="28"/>
          <w:b w:val="off"/>
          <w:rFonts w:ascii="Times New Roman" w:hAnsi="Times New Roman" w:cs="Times New Roman" w:eastAsia="Times New Roman"/>
        </w:rPr>
        <w:t>Reply to Form GST RFD-08 (Refund Rejection SCN)</w:t>
      </w:r>
    </w:p>
    <w:p>
      <w:pPr>
        <w:jc w:val="center"/>
      </w:pPr>
      <w:r>
        <w:rPr>
          <w:sz w:val="22"/>
          <w:b w:val="off"/>
          <w:rFonts w:ascii="Times New Roman" w:hAnsi="Times New Roman" w:cs="Times New Roman" w:eastAsia="Times New Roman"/>
        </w:rPr>
        <w:t>M/s NIDIMO MONT PRIVATE LIMITED · PAN: 27AAJCN7242F1ZC</w:t>
      </w:r>
    </w:p>
    <w:p>
      <w:pPr>
        <w:jc w:val="center"/>
      </w:pPr>
      <w:r>
        <w:rPr>
          <w:sz w:val="22"/>
          <w:b w:val="off"/>
          <w:rFonts w:ascii="Times New Roman" w:hAnsi="Times New Roman" w:cs="Times New Roman" w:eastAsia="Times New Roman"/>
        </w:rPr>
        <w:t>GST: 27AAJCN7242F1ZC</w:t>
      </w:r>
    </w:p>
    <w:p>
      <w:pPr>
        <w:jc w:val="center"/>
      </w:pPr>
      <w:r>
        <w:rPr>
          <w:sz w:val="22"/>
          <w:b w:val="off"/>
          <w:rFonts w:ascii="Times New Roman" w:hAnsi="Times New Roman" w:cs="Times New Roman" w:eastAsia="Times New Roman"/>
        </w:rPr>
        <w:t>Period: FY 2025-26</w:t>
      </w:r>
    </w:p>
    <w:p>
      <w:pPr>
        <w:jc w:val="center"/>
      </w:pPr>
      <w:r>
        <w:rPr>
          <w:sz w:val="22"/>
          <w:b w:val="off"/>
          <w:rFonts w:ascii="Times New Roman" w:hAnsi="Times New Roman" w:cs="Times New Roman" w:eastAsia="Times New Roman"/>
        </w:rPr>
        <w:t>Authority: ASSISTANT COMMISSIONER OF CENTRAL TAX, MUMBAI</w:t>
      </w:r>
    </w:p>
    <w:p>
      <w:pPr>
        <w:jc w:val="center"/>
      </w:pPr>
      <w:r>
        <w:rPr>
          <w:sz w:val="22"/>
          <w:b w:val="off"/>
          <w:rFonts w:ascii="Times New Roman" w:hAnsi="Times New Roman" w:cs="Times New Roman" w:eastAsia="Times New Roman"/>
        </w:rPr>
        <w:t>Due: 30 Days</w:t>
      </w:r>
    </w:p>
    <w:p/>
    <w:p>
      <w:pPr>
        <w:pStyle w:val="Heading2"/>
      </w:pPr>
      <w:r>
        <w:rPr>
          <w:b w:val="on"/>
          <w:sz w:val="24"/>
        </w:rPr>
        <w:t>1. Addressee, Reference and Preliminary Submissions</w:t>
      </w:r>
    </w:p>
    <w:p>
      <w:r>
        <w:rPr>
          <w:rFonts w:ascii="Times New Roman" w:hAnsi="Times New Roman" w:cs="Times New Roman" w:eastAsia="Times New Roman"/>
          <w:sz w:val="22"/>
        </w:rPr>
        <w:t>To, The Assistant Commissioner of Central Tax / Deputy Commissioner of State Tax, MIDC_NASHIK_502 (NAS-NOD-E-0007), Room No. 307, GST Bhavan, Pathardi Phata, Nashik.</w:t>
      </w:r>
    </w:p>
    <w:p>
      <w:r>
        <w:rPr>
          <w:rFonts w:ascii="Times New Roman" w:hAnsi="Times New Roman" w:cs="Times New Roman" w:eastAsia="Times New Roman"/>
          <w:sz w:val="22"/>
        </w:rPr>
        <w:t>Through: the GST common portal.</w:t>
      </w:r>
    </w:p>
    <w:p>
      <w:r>
        <w:rPr>
          <w:rFonts w:ascii="Times New Roman" w:hAnsi="Times New Roman" w:cs="Times New Roman" w:eastAsia="Times New Roman"/>
          <w:sz w:val="22"/>
        </w:rPr>
        <w:t>In the matter of: M/s Nidimo Mont Private Limited, GSTIN 27AAJCN7242F1ZC ("the Applicant"). Ref: Show Cause Notice in Form GST RFD-08 bearing ARN AA2703260810849 dated 14.03.2026, proposing rejection of refund of IGST paid on export of goods for the tax period January 2026, aggregating to Rs. 27,79,372/- (as per the charging paragraph) out of the total refund claim of Rs. 1,78,63,659/-.</w:t>
      </w:r>
    </w:p>
    <w:p>
      <w:r>
        <w:rPr>
          <w:rFonts w:ascii="Times New Roman" w:hAnsi="Times New Roman" w:cs="Times New Roman" w:eastAsia="Times New Roman"/>
          <w:sz w:val="22"/>
        </w:rPr>
        <w:t>Respected Sir/Madam, the Applicant most respectfully files the present written reply under Rule 92(3) of the CGST Rules, 2017 read with Section 54 of the CGST Act, 2017, and requests that the proposed rejection be dropped in its entirety for the reasons set out hereinafter. The Applicant further requests a personal hearing through its authorised representative before any adverse order is passed, in accordance with the principles of natural justice and Section 75(4) of the CGST Act, 2017.</w:t>
      </w:r>
    </w:p>
    <w:p/>
    <w:p>
      <w:pPr>
        <w:pStyle w:val="Heading2"/>
      </w:pPr>
      <w:r>
        <w:rPr>
          <w:b w:val="on"/>
          <w:sz w:val="24"/>
        </w:rPr>
        <w:t>2. Statement of Facts and Nature of Refund Claim</w:t>
      </w:r>
    </w:p>
    <w:p>
      <w:r>
        <w:rPr>
          <w:rFonts w:ascii="Times New Roman" w:hAnsi="Times New Roman" w:cs="Times New Roman" w:eastAsia="Times New Roman"/>
          <w:sz w:val="22"/>
        </w:rPr>
        <w:t>The Applicant is a Private Limited Company duly registered under the CGST/MGST/IGST Acts, engaged, inter alia, in the export of goods (mobile phones and allied commodities). Exports have been effected on payment of IGST in terms of Section 16(3)(b) of the IGST Act, 2017, and refund of such IGST has been claimed as per the mechanism prescribed under Section 54 of the CGST Act read with Rule 96/89 of the CGST Rules, 2017.</w:t>
      </w:r>
    </w:p>
    <w:p>
      <w:r>
        <w:rPr>
          <w:rFonts w:ascii="Times New Roman" w:hAnsi="Times New Roman" w:cs="Times New Roman" w:eastAsia="Times New Roman"/>
          <w:sz w:val="22"/>
        </w:rPr>
        <w:t>The refund claim of Rs. 1,78,63,659/- for January 2026 was filed on 14.03.2026 vide ARN AA2703260810849. The impugned SCN in Form GST RFD-08 proposes to disallow refund aggregating Rs. 27,79,372/- on three narrow grounds: (a) alleged excess ITC of Rs. 3,51,274/- in GSTR-3B vis-à-vis GSTR-2B for January 2026; (b) alleged ineligible ITC of Rs. 21,10,119/- traced to a Level-2 supplier whose registration was cancelled suo-motu w.e.f. 25.04.2025; and (c) alleged ineligible ITC of Rs. 3,17,979/- claimed to be not in furtherance of business. Each ground is denied, disputed, and is legally and factually untenable.</w:t>
      </w:r>
    </w:p>
    <w:p/>
    <w:p>
      <w:pPr>
        <w:pStyle w:val="Heading2"/>
      </w:pPr>
      <w:r>
        <w:rPr>
          <w:b w:val="on"/>
          <w:sz w:val="24"/>
        </w:rPr>
        <w:t>3. Ground A – Rebuttal on Alleged Excess ITC of Rs. 3,51,274/- (GSTR-3B vs. GSTR-2B)</w:t>
      </w:r>
    </w:p>
    <w:p>
      <w:r>
        <w:rPr>
          <w:rFonts w:ascii="Times New Roman" w:hAnsi="Times New Roman" w:cs="Times New Roman" w:eastAsia="Times New Roman"/>
          <w:sz w:val="22"/>
        </w:rPr>
        <w:t>The allegation that ITC of Rs. 3,51,274/- pertaining to M/s Mahavir Communications (GSTIN 27AMAPB2309R1Z2) was 'rejected' in GSTR-2B and yet availed in GSTR-3B is factually incorrect and legally unsustainable. The Applicant has, in the ordinary course of business, received the tax invoice, received the goods/services, and made payment (including tax) to the said supplier as evidenced by the tax invoice, e-way bill, GRN, ledger extract and bank payment advices being annexed herewith as Annexure A-1 to A-5. Under Section 16(2), the substantive conditions for availment of ITC stand fully satisfied.</w:t>
      </w:r>
    </w:p>
    <w:p>
      <w:r>
        <w:rPr>
          <w:rFonts w:ascii="Times New Roman" w:hAnsi="Times New Roman" w:cs="Times New Roman" w:eastAsia="Times New Roman"/>
          <w:sz w:val="22"/>
        </w:rPr>
        <w:t>The mismatch, if any, arises from the fact that the said invoice appears in the supplier's GSTR-1 and is duly reflected in the Applicant's GSTR-2B; the reference to 'rejection' in the SCN pertains to the IMS (Invoice Management System) action, which does not extinguish substantive ITC entitlement where the supplier has discharged the tax. Reliance is placed on the settled principle laid down by the Hon'ble Supreme Court in Union of India v. Bharti Airtel Ltd. (2021) 131 taxmann.com 319 (SC) and by the Hon'ble Madras High Court in D.Y. Beathel Enterprises v. STO (2022) 63 GSTL 385, that the recipient cannot be denied ITC where the supplier's tax has been paid to the exchequer. The Applicant undertakes to produce the supplier's GSTR-3B evidence of tax payment. Accordingly, the reversal proposed under Ground (a) is liable to be dropped.</w:t>
      </w:r>
    </w:p>
    <w:p/>
    <w:p>
      <w:pPr>
        <w:pStyle w:val="Heading2"/>
      </w:pPr>
      <w:r>
        <w:rPr>
          <w:b w:val="on"/>
          <w:sz w:val="24"/>
        </w:rPr>
        <w:t>4. Ground B – Rebuttal on Alleged Level-2 Cancelled Supplier ITC of Rs. 21,10,119/-</w:t>
      </w:r>
    </w:p>
    <w:p>
      <w:r>
        <w:rPr>
          <w:rFonts w:ascii="Times New Roman" w:hAnsi="Times New Roman" w:cs="Times New Roman" w:eastAsia="Times New Roman"/>
          <w:sz w:val="22"/>
        </w:rPr>
        <w:t>The allegation that ITC of Rs. 21,10,119/- (IGST) availed from M/s Nidimo International (GSTIN 27AAWFN1025A1ZI) — the Applicant's Level-1 supplier — is 'ineligible' merely because its upstream Level-2 supplier M/s Shree Shyam Mobility (GSTIN 24AFOFS7757K1Z5) was cancelled suo-motu w.e.f. 25.04.2025, is wholly untenable in law. The Applicant's direct supplier M/s Nidimo International is, and continues to be, an active registered person, and has duly issued tax invoices, effected supply, and reported the outward supplies in its GSTR-1 (reflected in the Applicant's GSTR-2B). All four cumulative conditions of Section 16(2) — possession of tax invoice, receipt of goods, tax paid to Government (Section 16(2)(c)), and filing of return — stand satisfied at the Applicant's end.</w:t>
      </w:r>
    </w:p>
    <w:p>
      <w:r>
        <w:rPr>
          <w:rFonts w:ascii="Times New Roman" w:hAnsi="Times New Roman" w:cs="Times New Roman" w:eastAsia="Times New Roman"/>
          <w:sz w:val="22"/>
        </w:rPr>
        <w:t>The GST law contains no provision requiring a recipient to verify the compliance status of its supplier's supplier (i.e., Level-2). The concept of 'Level-2 verification' is an internal departmental analytics exercise devoid of statutory backing. This precise question stands conclusively settled by the Hon'ble Supreme Court in State of Karnataka v. Ecom Gill Coffee Trading Pvt. Ltd. (2023) 71 GSTL 129 (SC), and more directly under GST by the Hon'ble Calcutta High Court in Suncraft Energy Pvt. Ltd. v. Assistant Commissioner (2023) 78 GSTL 424 (Cal) (SLP dismissed by Hon'ble SC on 14.12.2023), and the Hon'ble Madras High Court in D.Y. Beathel (supra), holding that ITC cannot be denied to a bona fide recipient on account of default/cancellation of an upstream supplier without first proceeding against the defaulting supplier. Further, CBIC Press Release dated 04.05.2018 and Circular No. 183/15/2022-GST dated 27.12.2022 support the position that recipients are not to be denied credit for supplier-side defects where their own compliance is complete. Accordingly, the proposed disallowance under Ground (b) is unsustainable.</w:t>
      </w:r>
    </w:p>
    <w:p/>
    <w:p>
      <w:pPr>
        <w:pStyle w:val="Heading2"/>
      </w:pPr>
      <w:r>
        <w:rPr>
          <w:b w:val="on"/>
          <w:sz w:val="24"/>
        </w:rPr>
        <w:t>5. Ground C – Rebuttal on Alleged Ineligible ITC of Rs. 3,17,979/- (Not in Furtherance of Business)</w:t>
      </w:r>
    </w:p>
    <w:p>
      <w:r>
        <w:rPr>
          <w:rFonts w:ascii="Times New Roman" w:hAnsi="Times New Roman" w:cs="Times New Roman" w:eastAsia="Times New Roman"/>
          <w:sz w:val="22"/>
        </w:rPr>
        <w:t>The allegation that ITC of Rs. 3,17,979/- availed from nine invoices (Bharti Airtel, Iconnect Enterprise, Krishna Rathi &amp; Associates, Lumsa Decor, MSTC Ltd, Malabar Gold, Redbus, etc.) is 'not in furtherance of business' is a bare, unsubstantiated conclusion, unsupported by any invoice-wise reasoning. The onus of establishing that a supply is not in the course or furtherance of business shifts to the department once the assessee places on record credible commercial justification (see Safari Retreats Pvt. Ltd. v. Chief Commissioner (2024) SCC OnLine SC 2691). The Applicant provides invoice-wise justification as under:</w:t>
      </w:r>
    </w:p>
    <w:p>
      <w:r>
        <w:rPr>
          <w:rFonts w:ascii="Times New Roman" w:hAnsi="Times New Roman" w:cs="Times New Roman" w:eastAsia="Times New Roman"/>
          <w:sz w:val="22"/>
        </w:rPr>
        <w:t>(i) Bharti Airtel Ltd. — Telecommunication services used exclusively for business communication of the Applicant's export office; squarely eligible under Section 16(1). (ii) Iconnect Enterprise — IT/infrastructure supply used in business operations; supporting proof of use annexed. (iii) &amp; (iv) Krishna Rathi &amp; Associates — Professional/consultancy services used for statutory compliance; specifically eligible per settled position and not blocked under Section 17(5). (v) Lumsa Decor Pvt. Ltd. — Office interior fit-outs (movable), not amounting to 'construction' under Section 17(5)(d) as clarified in Safari Retreats (supra). (vi) &amp; (vii) MSTC Ltd. — E-auction/procurement platform services used in business. (viii) Malabar Gold and Diamonds Ltd. — Business promotion/gifting to channel partners (not to employees) — commercial expediency to be substantiated. (ix) Redbus — Employee business travel to suppliers/customers, being business travel and not 'leave/home travel concession' hit by Section 17(5)(b)(iii).</w:t>
      </w:r>
    </w:p>
    <w:p>
      <w:r>
        <w:rPr>
          <w:rFonts w:ascii="Times New Roman" w:hAnsi="Times New Roman" w:cs="Times New Roman" w:eastAsia="Times New Roman"/>
          <w:sz w:val="22"/>
        </w:rPr>
        <w:t>None of the impugned invoices fall within the blocked-credit categories under Section 17(5). Documentary evidence establishing the business nexus of each invoice is annexed as Annexure C-1 to C-9. The proposed disallowance under Ground (c) is therefore liable to be dropped.</w:t>
      </w:r>
    </w:p>
    <w:p/>
    <w:p>
      <w:pPr>
        <w:pStyle w:val="Heading2"/>
      </w:pPr>
      <w:r>
        <w:rPr>
          <w:b w:val="on"/>
          <w:sz w:val="24"/>
        </w:rPr>
        <w:t>6. Delinking of ITC-based Objections from Refund of IGST paid on Exports under Rule 96</w:t>
      </w:r>
    </w:p>
    <w:p>
      <w:r>
        <w:rPr>
          <w:rFonts w:ascii="Times New Roman" w:hAnsi="Times New Roman" w:cs="Times New Roman" w:eastAsia="Times New Roman"/>
          <w:sz w:val="22"/>
        </w:rPr>
        <w:t>Without prejudice to the above, it is respectfully submitted that the present refund is claimed under Rule 96 of the CGST Rules (refund of IGST paid on export of goods), where the shipping bill itself is deemed to be the refund application and refund is sanctioned on the basis of tax actually paid on the zero-rated supply. The refund under Rule 96 is not a refund of unutilised ITC under Rule 89(4). Therefore, alleged discrepancies in ITC availment (which, in any event, are contested above) cannot form the basis of rejection of IGST refund on exports, so long as: (a) the exports have been effected; (b) the IGST on the shipping bill has been paid; and (c) GSTR-1 and GSTR-3B for the period are duly filed. This position is supported by CBIC Circular No. 125/44/2019-GST dated 18.11.2019 and reiterated in Circular No. 197/09/2023-GST dated 17.07.2023.</w:t>
      </w:r>
    </w:p>
    <w:p>
      <w:r>
        <w:rPr>
          <w:rFonts w:ascii="Times New Roman" w:hAnsi="Times New Roman" w:cs="Times New Roman" w:eastAsia="Times New Roman"/>
          <w:sz w:val="22"/>
        </w:rPr>
        <w:t>The Hon'ble Gujarat High Court in Amit Cotton Industries v. Principal Commissioner (2019) 29 GSTL 200 (Guj) has categorically held that refund of IGST paid on exports cannot be withheld on collateral ITC-related objections. The Applicant respectfully invokes the ratio of the said decision.</w:t>
      </w:r>
    </w:p>
    <w:p/>
    <w:p>
      <w:pPr>
        <w:pStyle w:val="Heading2"/>
      </w:pPr>
      <w:r>
        <w:rPr>
          <w:b w:val="on"/>
          <w:sz w:val="24"/>
        </w:rPr>
        <w:t>7. Burden of Proof, Natural Justice and Prayer for Relief</w:t>
      </w:r>
    </w:p>
    <w:p>
      <w:r>
        <w:rPr>
          <w:rFonts w:ascii="Times New Roman" w:hAnsi="Times New Roman" w:cs="Times New Roman" w:eastAsia="Times New Roman"/>
          <w:sz w:val="22"/>
        </w:rPr>
        <w:t>The invocation of Section 155 in the SCN is misplaced. The Applicant has discharged the primary burden by producing tax invoices, GSTR-2B reflections, e-way bills, GRNs, bank payment proofs, and commercial evidence. The burden now shifts to the Revenue to establish, with cogent material, why despite substantive compliance the credit should be denied. The SCN contains only bare assertions, particularly under Grounds (b) and (c), and does not meet the standard of a reasoned proposal contemplated under Rule 92(3) and reiterated by the Hon'ble Supreme Court in Oryx Fisheries (P) Ltd. v. Union of India (2010) 13 SCC 427.</w:t>
      </w:r>
    </w:p>
    <w:p>
      <w:r>
        <w:rPr>
          <w:rFonts w:ascii="Times New Roman" w:hAnsi="Times New Roman" w:cs="Times New Roman" w:eastAsia="Times New Roman"/>
          <w:sz w:val="22"/>
        </w:rPr>
        <w:t>PRAYER: In view of the foregoing, the Applicant most respectfully prays that this Hon'ble Adjudicating Authority may be pleased to: (i) DROP the proposed rejection of refund of Rs. 27,79,372/- in its entirety and SANCTION the full refund of Rs. 1,78,63,659/- along with statutory interest under Section 56 of the CGST Act, 2017; (ii) GRANT the Applicant a personal hearing through its authorised representative in terms of Section 75(4); (iii) PERMIT the Applicant to file additional submissions/documents as may be required; and (iv) PASS such further or other order as this Hon'ble Authority may deem fit and proper in the interests of justice.</w:t>
      </w:r>
    </w:p>
    <w:p>
      <w:r>
        <w:rPr>
          <w:rFonts w:ascii="Times New Roman" w:hAnsi="Times New Roman" w:cs="Times New Roman" w:eastAsia="Times New Roman"/>
          <w:sz w:val="22"/>
        </w:rPr>
        <w:t>Nothing contained herein shall be construed as an admission of any liability. All rights and contentions are expressly reserved.</w:t>
      </w:r>
    </w:p>
    <w:p>
      <w:r>
        <w:rPr>
          <w:rFonts w:ascii="Times New Roman" w:hAnsi="Times New Roman" w:cs="Times New Roman" w:eastAsia="Times New Roman"/>
          <w:sz w:val="22"/>
        </w:rPr>
        <w:t>For and on behalf of M/s Nidimo Mont Private Limited Authorised Signatory / Director Place: Mumbai | Date: ____</w:t>
      </w:r>
    </w:p>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2026-09-27T15:17:38Z</dcterms:created>
  <dc:creator>Apache POI</dc:creator>
</cp:coreProperties>
</file>