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sz w:val="36"/>
          <w:b w:val="on"/>
          <w:rFonts w:ascii="Times New Roman" w:hAnsi="Times New Roman" w:cs="Times New Roman" w:eastAsia="Times New Roman"/>
        </w:rPr>
        <w:t>development</w:t>
      </w:r>
    </w:p>
    <w:p>
      <w:pPr>
        <w:jc w:val="center"/>
      </w:pPr>
      <w:r>
        <w:rPr>
          <w:sz w:val="28"/>
          <w:b w:val="off"/>
          <w:rFonts w:ascii="Times New Roman" w:hAnsi="Times New Roman" w:cs="Times New Roman" w:eastAsia="Times New Roman"/>
        </w:rPr>
        <w:t>Reply to Show Cause Cum Demand Notice</w:t>
      </w:r>
    </w:p>
    <w:p>
      <w:pPr>
        <w:jc w:val="center"/>
      </w:pPr>
      <w:r>
        <w:rPr>
          <w:sz w:val="22"/>
          <w:b w:val="off"/>
          <w:rFonts w:ascii="Times New Roman" w:hAnsi="Times New Roman" w:cs="Times New Roman" w:eastAsia="Times New Roman"/>
        </w:rPr>
        <w:t>CryptoNode Systems India · PAN: 27BBBCC9876K1Z9</w:t>
      </w:r>
    </w:p>
    <w:p>
      <w:pPr>
        <w:jc w:val="center"/>
      </w:pPr>
      <w:r>
        <w:rPr>
          <w:sz w:val="22"/>
          <w:b w:val="off"/>
          <w:rFonts w:ascii="Times New Roman" w:hAnsi="Times New Roman" w:cs="Times New Roman" w:eastAsia="Times New Roman"/>
        </w:rPr>
        <w:t>GST: 27BBBCC9876K1Z9</w:t>
      </w:r>
    </w:p>
    <w:p>
      <w:pPr>
        <w:jc w:val="center"/>
      </w:pPr>
      <w:r>
        <w:rPr>
          <w:sz w:val="22"/>
          <w:b w:val="off"/>
          <w:rFonts w:ascii="Times New Roman" w:hAnsi="Times New Roman" w:cs="Times New Roman" w:eastAsia="Times New Roman"/>
        </w:rPr>
        <w:t>Period: FY 2023-24</w:t>
      </w:r>
    </w:p>
    <w:p>
      <w:pPr>
        <w:jc w:val="center"/>
      </w:pPr>
      <w:r>
        <w:rPr>
          <w:sz w:val="22"/>
          <w:b w:val="off"/>
          <w:rFonts w:ascii="Times New Roman" w:hAnsi="Times New Roman" w:cs="Times New Roman" w:eastAsia="Times New Roman"/>
        </w:rPr>
        <w:t>Authority: Proper Officer, Ward 10</w:t>
      </w:r>
    </w:p>
    <w:p>
      <w:pPr>
        <w:jc w:val="center"/>
      </w:pPr>
      <w:r>
        <w:rPr>
          <w:sz w:val="22"/>
          <w:b w:val="off"/>
          <w:rFonts w:ascii="Times New Roman" w:hAnsi="Times New Roman" w:cs="Times New Roman" w:eastAsia="Times New Roman"/>
        </w:rPr>
        <w:t>Due: 30 Days</w:t>
      </w:r>
    </w:p>
    <w:p/>
    <w:p>
      <w:pPr>
        <w:pStyle w:val="Heading2"/>
      </w:pPr>
      <w:r>
        <w:rPr>
          <w:b w:val="on"/>
          <w:sz w:val="24"/>
        </w:rPr>
        <w:t>1. Addressee, Reference and Preliminary Submission</w:t>
      </w:r>
    </w:p>
    <w:p>
      <w:r>
        <w:rPr>
          <w:rFonts w:ascii="Times New Roman" w:hAnsi="Times New Roman" w:cs="Times New Roman" w:eastAsia="Times New Roman"/>
          <w:sz w:val="22"/>
        </w:rPr>
        <w:t>To, The Proper Officer, Ward 10 / Superintendent of Central Tax, Ward 42, Mumbai Zone, Central Board of Indirect Taxes and Customs, Mumbai.</w:t>
      </w:r>
    </w:p>
    <w:p>
      <w:r>
        <w:rPr>
          <w:rFonts w:ascii="Times New Roman" w:hAnsi="Times New Roman" w:cs="Times New Roman" w:eastAsia="Times New Roman"/>
          <w:sz w:val="22"/>
        </w:rPr>
        <w:t>In the matter of: M/s CryptoNode Systems India Private Limited, PAN/GSTIN 27BBBCC9876K1Z9, having its registered office in the State of Maharashtra (hereinafter the “Noticee” / “Company”).</w:t>
      </w:r>
    </w:p>
    <w:p>
      <w:r>
        <w:rPr>
          <w:rFonts w:ascii="Times New Roman" w:hAnsi="Times New Roman" w:cs="Times New Roman" w:eastAsia="Times New Roman"/>
          <w:sz w:val="22"/>
        </w:rPr>
        <w:t>Subject: Written Reply to Show Cause Cum Demand Notice bearing DIN-2026-99 dated 20.09.2026 (read with Form GST ASMT-10 dated 15.10.2026) proposing a demand of Rs. 50,00,000/- for FY 2023-24 on the ground of an alleged “GST Cryptographic Mining Levy” and consequential denial of Input Tax Credit on ASIC Miners and cooling equipment.</w:t>
      </w:r>
    </w:p>
    <w:p>
      <w:r>
        <w:rPr>
          <w:rFonts w:ascii="Times New Roman" w:hAnsi="Times New Roman" w:cs="Times New Roman" w:eastAsia="Times New Roman"/>
          <w:sz w:val="22"/>
        </w:rPr>
        <w:t>At the outset, the Noticee, without prejudice and under protest, denies each and every allegation, inference and computation contained in the impugned Notice, save and except those that are matters of record and are expressly admitted herein. The Notice suffers from patent jurisdictional, factual and legal infirmities, as elaborated in the following sections, and deserves to be dropped in limine.</w:t>
      </w:r>
    </w:p>
    <w:p/>
    <w:p>
      <w:pPr>
        <w:pStyle w:val="Heading2"/>
      </w:pPr>
      <w:r>
        <w:rPr>
          <w:b w:val="on"/>
          <w:sz w:val="24"/>
        </w:rPr>
        <w:t>2. Statement of Facts and Preliminary Objections</w:t>
      </w:r>
    </w:p>
    <w:p>
      <w:r>
        <w:rPr>
          <w:rFonts w:ascii="Times New Roman" w:hAnsi="Times New Roman" w:cs="Times New Roman" w:eastAsia="Times New Roman"/>
          <w:sz w:val="22"/>
        </w:rPr>
        <w:t>1. The Noticee is a Private Limited Company duly incorporated under the Companies Act, 2013, and is engaged in the business of operating decentralized computing / blockchain node infrastructure, i.e., providing distributed computing power, transaction validation and network security services. The Company is duly registered under the CGST/SGST Act, 2017 and has, at all material times, discharged its statutory obligations diligently.</w:t>
      </w:r>
    </w:p>
    <w:p>
      <w:r>
        <w:rPr>
          <w:rFonts w:ascii="Times New Roman" w:hAnsi="Times New Roman" w:cs="Times New Roman" w:eastAsia="Times New Roman"/>
          <w:sz w:val="22"/>
        </w:rPr>
        <w:t>2. It is submitted, with utmost respect, that the impugned Notice is misdirected on the very face of it. The OCR extract annexed to the Notice is addressed to “M/s Acme Industries Private Limited, GSTIN 27AAACA9876B1Z5”, a Chartered Accountancy firm, for the tax period April 2024 to March 2025. The Noticee’s GSTIN is 27BBBCC9876K1Z9 and the tax period stated in the covering Notice is FY 2023-24. The Notice thus suffers from (a) mistaken identity of the Noticee, (b) mismatch of GSTIN and PAN, and (c) mismatch of tax period. On this ground alone, the Notice is a nullity and liable to be withdrawn.</w:t>
      </w:r>
    </w:p>
    <w:p>
      <w:r>
        <w:rPr>
          <w:rFonts w:ascii="Times New Roman" w:hAnsi="Times New Roman" w:cs="Times New Roman" w:eastAsia="Times New Roman"/>
          <w:sz w:val="22"/>
        </w:rPr>
        <w:t>3. Further, the very concept of a “GST Cryptographic Mining Levy” is unprecedented and unknown to the CGST Act, 2017, the IGST Act, 2017, the SGST Act or any rules, notifications or circulars issued thereunder. No such levy stands enacted by Parliament or notified by the Government. A demand cannot be raised on the strength of a levy that does not exist in statute.</w:t>
      </w:r>
    </w:p>
    <w:p/>
    <w:p>
      <w:pPr>
        <w:pStyle w:val="Heading2"/>
      </w:pPr>
      <w:r>
        <w:rPr>
          <w:b w:val="on"/>
          <w:sz w:val="24"/>
        </w:rPr>
        <w:t>3. Ground A – No Levy Without Authority of Law: Article 265 of the Constitution</w:t>
      </w:r>
    </w:p>
    <w:p>
      <w:r>
        <w:rPr>
          <w:rFonts w:ascii="Times New Roman" w:hAnsi="Times New Roman" w:cs="Times New Roman" w:eastAsia="Times New Roman"/>
          <w:sz w:val="22"/>
        </w:rPr>
        <w:t>Article 265 of the Constitution of India mandates that “no tax shall be levied or collected except by authority of law.” The impugned Notice proposes to raise a demand of Rs. 50,00,000/- under a nomenclature styled as an “Unprecedented GST Cryptographic Mining Levy.” With respect, the CGST Act, 2017 contains no charging section, no rate notification, no HSN classification and no valuation mechanism that fastens a distinct tax liability styled as a “mining levy” on operators of decentralized nodes.</w:t>
      </w:r>
    </w:p>
    <w:p>
      <w:r>
        <w:rPr>
          <w:rFonts w:ascii="Times New Roman" w:hAnsi="Times New Roman" w:cs="Times New Roman" w:eastAsia="Times New Roman"/>
          <w:sz w:val="22"/>
        </w:rPr>
        <w:t>The Hon’ble Supreme Court has consistently held (Mathuram Agrawal v. State of MP, (1999) 8 SCC 667; Govind Saran Ganga Saran v. CST, 1985 Supp SCC 205) that the four components of a valid tax — taxable event, taxable person, rate and measure — must be clearly ascertainable from the statute itself. In the absence of any of these components with respect to “crypto mining,” the proposed levy is ultra vires and cannot be sustained. The demand of Rs. 50,00,000/- is therefore wholly without jurisdiction and deserves to be quashed.</w:t>
      </w:r>
    </w:p>
    <w:p/>
    <w:p>
      <w:pPr>
        <w:pStyle w:val="Heading2"/>
      </w:pPr>
      <w:r>
        <w:rPr>
          <w:b w:val="on"/>
          <w:sz w:val="24"/>
        </w:rPr>
        <w:t>4. Ground B – Decentralized Node Operations Do Not Constitute a &amp;ldquo;Supply&amp;rdquo; under Section 7 of the CGST Act</w:t>
      </w:r>
    </w:p>
    <w:p>
      <w:r>
        <w:rPr>
          <w:rFonts w:ascii="Times New Roman" w:hAnsi="Times New Roman" w:cs="Times New Roman" w:eastAsia="Times New Roman"/>
          <w:sz w:val="22"/>
        </w:rPr>
        <w:t>Section 7(1) of the CGST Act, 2017 defines “supply” as inter alia a transaction made “for a consideration by a person in the course or furtherance of business” with an identifiable recipient. In a decentralized blockchain network, the Company operates nodes that contribute computing resources to a peer-to-peer protocol. Block rewards or protocol emissions received (if any) are automatically generated by the protocol algorithm; there is no identifiable recipient of service, no contractual counterparty, and no reciprocal enforceable consideration.</w:t>
      </w:r>
    </w:p>
    <w:p>
      <w:r>
        <w:rPr>
          <w:rFonts w:ascii="Times New Roman" w:hAnsi="Times New Roman" w:cs="Times New Roman" w:eastAsia="Times New Roman"/>
          <w:sz w:val="22"/>
        </w:rPr>
        <w:t>The essential ingredients of a taxable “supply” — namely, a supplier, a recipient, and consideration flowing from the recipient to the supplier — are absent. Reliance is placed on the settled principle laid down in Commissioner v. Bai Mamubai Trust, 2019 SCC OnLine Bom 3459, and the ratio in Union of India v. Mohit Minerals, (2022) 10 SCC 700, which reaffirm that GST cannot be levied in the absence of a reciprocal supply. As no “supply” occurs, no output GST liability can arise, and no consequential demand for Rs. 50,00,000/- is sustainable.</w:t>
      </w:r>
    </w:p>
    <w:p/>
    <w:p>
      <w:pPr>
        <w:pStyle w:val="Heading2"/>
      </w:pPr>
      <w:r>
        <w:rPr>
          <w:b w:val="on"/>
          <w:sz w:val="24"/>
        </w:rPr>
        <w:t>5. Ground C – Input Tax Credit on ASIC Miners and Cooling Equipment is Fully Admissible under Section 16(1) of the CGST Act</w:t>
      </w:r>
    </w:p>
    <w:p>
      <w:r>
        <w:rPr>
          <w:rFonts w:ascii="Times New Roman" w:hAnsi="Times New Roman" w:cs="Times New Roman" w:eastAsia="Times New Roman"/>
          <w:sz w:val="22"/>
        </w:rPr>
        <w:t>Without prejudice to the foregoing, and only insofar as the ASMT-10 companion allegation seeks to deny ITC on ASIC Miners and cooling equipment, it is respectfully submitted that Section 16(1) of the CGST Act, 2017 entitles every registered person to take credit of input tax on goods and services “used or intended to be used in the course or furtherance of his business.” The Company’s registered business is precisely the operation of blockchain nodes and provision of decentralized computing services; ASIC Miners and industrial cooling equipment are the plant and machinery integral to that business.</w:t>
      </w:r>
    </w:p>
    <w:p>
      <w:r>
        <w:rPr>
          <w:rFonts w:ascii="Times New Roman" w:hAnsi="Times New Roman" w:cs="Times New Roman" w:eastAsia="Times New Roman"/>
          <w:sz w:val="22"/>
        </w:rPr>
        <w:t>The reasoning in the ASMT-10, which is admittedly borrowed from a notice addressed to a Chartered Accountancy firm (SAC 99822), has no application to the Noticee. The Noticee’s business profile, invoices, electricity load sanction, data-centre lease and technical logs (all producible on demand) squarely establish nexus under Section 16(1). Further, the equipment is not covered by any of the blocked-credit categories under Section 17(5). Denial of ITC of Rs. 45,50,000/- (as computed) is therefore contrary to Section 16 and settled precedent (Safari Retreats Pvt. Ltd. v. Chief Commissioner, 2024 SCC OnLine SC 2691).</w:t>
      </w:r>
    </w:p>
    <w:p/>
    <w:p>
      <w:pPr>
        <w:pStyle w:val="Heading2"/>
      </w:pPr>
      <w:r>
        <w:rPr>
          <w:b w:val="on"/>
          <w:sz w:val="24"/>
        </w:rPr>
        <w:t>6. Ground D – Procedural Infirmities, CBIC Instruction No. 01/2022-23 and Absence of Section 74 Ingredients</w:t>
      </w:r>
    </w:p>
    <w:p>
      <w:r>
        <w:rPr>
          <w:rFonts w:ascii="Times New Roman" w:hAnsi="Times New Roman" w:cs="Times New Roman" w:eastAsia="Times New Roman"/>
          <w:sz w:val="22"/>
        </w:rPr>
        <w:t>The Notice invokes Section 73/74 of the CGST Act without disclosing (a) the precise limb invoked, (b) the material and evidence relied upon, and (c) any element of fraud, wilful misstatement or suppression required to sustain a Section 74 proceeding. The Hon’ble Supreme Court in CCE v. Brindavan Beverages, (2007) 5 SCC 388, has held that a show cause notice which is vague and does not spell out the specific charge vitiates the entire adjudication. To the extent the Notice conflates Section 73 and 74 in the alternative, it is bad in law.</w:t>
      </w:r>
    </w:p>
    <w:p>
      <w:r>
        <w:rPr>
          <w:rFonts w:ascii="Times New Roman" w:hAnsi="Times New Roman" w:cs="Times New Roman" w:eastAsia="Times New Roman"/>
          <w:sz w:val="22"/>
        </w:rPr>
        <w:t>Further, the CBIC Instruction No. 01/2022-23 [GST-Investigation] dated 25.05.2022 mandates that no coercive recovery be effected during scrutiny/investigation without adjudication, and that acknowledgments in DRC-04 be duly issued for any voluntary payment. The Noticee places on record that no payment, voluntary or otherwise, is being made pursuant to the impugned Notice; should any deposit be insisted upon, the same shall stand made strictly “under protest” in line with the ratio in Vallabh Textiles v. Senior Intelligence Officer, W.P.(C) 9834 of 2022 (Delhi HC, 20.12.2022) and Bhumi Associate v. Union of India, R/SCA 3196 of 2021 (Gujarat HC), with full reservation of the right to seek refund.</w:t>
      </w:r>
    </w:p>
    <w:p/>
    <w:p>
      <w:pPr>
        <w:pStyle w:val="Heading2"/>
      </w:pPr>
      <w:r>
        <w:rPr>
          <w:b w:val="on"/>
          <w:sz w:val="24"/>
        </w:rPr>
        <w:t>7. Prayer for Relief</w:t>
      </w:r>
    </w:p>
    <w:p>
      <w:r>
        <w:rPr>
          <w:rFonts w:ascii="Times New Roman" w:hAnsi="Times New Roman" w:cs="Times New Roman" w:eastAsia="Times New Roman"/>
          <w:sz w:val="22"/>
        </w:rPr>
        <w:t>In the light of the foregoing facts, statutory provisions and binding precedents, the Noticee most respectfully prays that the Learned Proper Officer be pleased to:</w:t>
      </w:r>
    </w:p>
    <w:p>
      <w:r>
        <w:rPr>
          <w:rFonts w:ascii="Times New Roman" w:hAnsi="Times New Roman" w:cs="Times New Roman" w:eastAsia="Times New Roman"/>
          <w:sz w:val="22"/>
        </w:rPr>
        <w:t>(a) DROP in entirety the proceedings initiated vide Show Cause Cum Demand Notice DIN-2026-99 dated 20.09.2026 and the connected ASMT-10 dated 15.10.2026; (b) HOLD that no levy styled as a “GST Cryptographic Mining Levy” exists under the CGST Act, 2017, and that the operation of decentralized nodes does not constitute a taxable “supply” under Section 7; (c) ALLOW the Input Tax Credit availed on ASIC Miners and cooling equipment as being squarely covered by Section 16(1) of the CGST Act; (d) RECORD that the impugned Notice suffers from mistaken identity, mismatched GSTIN and mismatched tax period, and is a nullity in law; (e) GRANT a personal hearing under Section 75(4) of the CGST Act before passing any adverse order; and (f) PASS such further or other order as this Learned Authority may deem fit and proper in the interests of justice.</w:t>
      </w:r>
    </w:p>
    <w:p>
      <w:r>
        <w:rPr>
          <w:rFonts w:ascii="Times New Roman" w:hAnsi="Times New Roman" w:cs="Times New Roman" w:eastAsia="Times New Roman"/>
          <w:sz w:val="22"/>
        </w:rPr>
        <w:t>The Noticee craves leave to file additional submissions, documents and case-law at or before the date of personal hearing. Nothing stated herein shall be construed as an admission of liability of any kind.</w:t>
      </w:r>
    </w:p>
    <w:p>
      <w:r>
        <w:rPr>
          <w:rFonts w:ascii="Times New Roman" w:hAnsi="Times New Roman" w:cs="Times New Roman" w:eastAsia="Times New Roman"/>
          <w:sz w:val="22"/>
        </w:rPr>
        <w:t>For and on behalf of M/s CryptoNode Systems India Private Limited _________________________ Authorised Signatory / Director Place: Mumbai | Date: __________</w:t>
      </w:r>
    </w:p>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2026-09-27T15:18:53Z</dcterms:created>
  <dc:creator>Apache POI</dc:creator>
</cp:coreProperties>
</file>