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sz w:val="36"/>
          <w:b w:val="on"/>
          <w:rFonts w:ascii="Times New Roman" w:hAnsi="Times New Roman" w:cs="Times New Roman" w:eastAsia="Times New Roman"/>
        </w:rPr>
        <w:t>development</w:t>
      </w:r>
    </w:p>
    <w:p>
      <w:pPr>
        <w:jc w:val="center"/>
      </w:pPr>
      <w:r>
        <w:rPr>
          <w:sz w:val="28"/>
          <w:b w:val="off"/>
          <w:rFonts w:ascii="Times New Roman" w:hAnsi="Times New Roman" w:cs="Times New Roman" w:eastAsia="Times New Roman"/>
        </w:rPr>
        <w:t>Reply to Show Cause Cum Demand Notice</w:t>
      </w:r>
    </w:p>
    <w:p>
      <w:pPr>
        <w:jc w:val="center"/>
      </w:pPr>
      <w:r>
        <w:rPr>
          <w:sz w:val="22"/>
          <w:b w:val="off"/>
          <w:rFonts w:ascii="Times New Roman" w:hAnsi="Times New Roman" w:cs="Times New Roman" w:eastAsia="Times New Roman"/>
        </w:rPr>
        <w:t>M/s H R Steel (Prop. Juned Aliahmed Chaudhari) · PAN: 27AGZPC3957D1Z2</w:t>
      </w:r>
    </w:p>
    <w:p>
      <w:pPr>
        <w:jc w:val="center"/>
      </w:pPr>
      <w:r>
        <w:rPr>
          <w:sz w:val="22"/>
          <w:b w:val="off"/>
          <w:rFonts w:ascii="Times New Roman" w:hAnsi="Times New Roman" w:cs="Times New Roman" w:eastAsia="Times New Roman"/>
        </w:rPr>
        <w:t>GST: 27AGZPC3957D1Z2</w:t>
      </w:r>
    </w:p>
    <w:p>
      <w:pPr>
        <w:jc w:val="center"/>
      </w:pPr>
      <w:r>
        <w:rPr>
          <w:sz w:val="22"/>
          <w:b w:val="off"/>
          <w:rFonts w:ascii="Times New Roman" w:hAnsi="Times New Roman" w:cs="Times New Roman" w:eastAsia="Times New Roman"/>
        </w:rPr>
        <w:t>Period: FY 2020-21</w:t>
      </w:r>
    </w:p>
    <w:p>
      <w:pPr>
        <w:jc w:val="center"/>
      </w:pPr>
      <w:r>
        <w:rPr>
          <w:sz w:val="22"/>
          <w:b w:val="off"/>
          <w:rFonts w:ascii="Times New Roman" w:hAnsi="Times New Roman" w:cs="Times New Roman" w:eastAsia="Times New Roman"/>
        </w:rPr>
        <w:t>Authority: ASSISTANT COMMISSIONER OF CGST &amp; CENTRAL EXCISE, NASHIK</w:t>
      </w:r>
    </w:p>
    <w:p>
      <w:pPr>
        <w:jc w:val="center"/>
      </w:pPr>
      <w:r>
        <w:rPr>
          <w:sz w:val="22"/>
          <w:b w:val="off"/>
          <w:rFonts w:ascii="Times New Roman" w:hAnsi="Times New Roman" w:cs="Times New Roman" w:eastAsia="Times New Roman"/>
        </w:rPr>
        <w:t>Due: 30 Days</w:t>
      </w:r>
    </w:p>
    <w:p/>
    <w:p>
      <w:pPr>
        <w:pStyle w:val="Heading2"/>
      </w:pPr>
      <w:r>
        <w:rPr>
          <w:b w:val="on"/>
          <w:sz w:val="24"/>
        </w:rPr>
        <w:t>1. Addressee, Reference and Preliminary Submissions</w:t>
      </w:r>
    </w:p>
    <w:p>
      <w:r>
        <w:rPr>
          <w:rFonts w:ascii="Times New Roman" w:hAnsi="Times New Roman" w:cs="Times New Roman" w:eastAsia="Times New Roman"/>
          <w:sz w:val="22"/>
        </w:rPr>
        <w:t>To, The Additional Commissioner, Central GST &amp; Central Excise, Nashik Commissionerate, Nashik, Maharashtra.</w:t>
      </w:r>
    </w:p>
    <w:p>
      <w:r>
        <w:rPr>
          <w:rFonts w:ascii="Times New Roman" w:hAnsi="Times New Roman" w:cs="Times New Roman" w:eastAsia="Times New Roman"/>
          <w:sz w:val="22"/>
        </w:rPr>
        <w:t>Through: The Assistant Commissioner of CGST &amp; Central Excise, Nashik.</w:t>
      </w:r>
    </w:p>
    <w:p>
      <w:r>
        <w:rPr>
          <w:rFonts w:ascii="Times New Roman" w:hAnsi="Times New Roman" w:cs="Times New Roman" w:eastAsia="Times New Roman"/>
          <w:sz w:val="22"/>
        </w:rPr>
        <w:t>In the matter of: M/s H R Steel (Proprietor: Shri Juned Aliahmed Chaudhari), GSTIN: 27AGZPC3957D1Z2, Plot No. 57, Gut No. 19/1, Satpur Ambad Link Road, Chinchole, Ambad, Nashik – 422010.</w:t>
      </w:r>
    </w:p>
    <w:p>
      <w:r>
        <w:rPr>
          <w:rFonts w:ascii="Times New Roman" w:hAnsi="Times New Roman" w:cs="Times New Roman" w:eastAsia="Times New Roman"/>
          <w:sz w:val="22"/>
        </w:rPr>
        <w:t>Subject: Written reply to Show Cause Cum Demand Notice bearing F.No. GEXCOM/AE/INV/GST/1886/2026 dated 17.09.2026 (Centralized SCN Sr. No. 07/26-27) proposing demand of ₹11,36,93,005/- along with interest and penalty under Section 74(1) of the CGST Act, 2017 read with corresponding provisions of the MGST Act, 2017, for the period FY 2020-21 and FY 2021-22.</w:t>
      </w:r>
    </w:p>
    <w:p>
      <w:r>
        <w:rPr>
          <w:rFonts w:ascii="Times New Roman" w:hAnsi="Times New Roman" w:cs="Times New Roman" w:eastAsia="Times New Roman"/>
          <w:sz w:val="22"/>
        </w:rPr>
        <w:t>Respected Sir,</w:t>
      </w:r>
    </w:p>
    <w:p>
      <w:r>
        <w:rPr>
          <w:rFonts w:ascii="Times New Roman" w:hAnsi="Times New Roman" w:cs="Times New Roman" w:eastAsia="Times New Roman"/>
          <w:sz w:val="22"/>
        </w:rPr>
        <w:t>The Noticee, under instructions and without prejudice to any of its rights, contentions and remedies, most respectfully submits this written reply to the Show Cause Notice (hereinafter, "the impugned SCN") within the time permitted, and prays that the impugned SCN be dropped in its entirety. The Noticee expressly reserves the right to file additional submissions, place further documents on record, cross-examine the persons whose statements are relied upon, and to be heard in person before adjudication in terms of Section 75(4) and 75(5) of the CGST Act, 2017.</w:t>
      </w:r>
    </w:p>
    <w:p/>
    <w:p>
      <w:pPr>
        <w:pStyle w:val="Heading2"/>
      </w:pPr>
      <w:r>
        <w:rPr>
          <w:b w:val="on"/>
          <w:sz w:val="24"/>
        </w:rPr>
        <w:t>2. Statement of Facts and Preliminary Objections</w:t>
      </w:r>
    </w:p>
    <w:p>
      <w:r>
        <w:rPr>
          <w:rFonts w:ascii="Times New Roman" w:hAnsi="Times New Roman" w:cs="Times New Roman" w:eastAsia="Times New Roman"/>
          <w:sz w:val="22"/>
        </w:rPr>
        <w:t>The Noticee is a sole proprietorship concern engaged in the bona fide trading of iron and steel articles (CR Sheets, HR Sheets, Colour Coated Sheets, MS Pipes, GI Pipes, MS Scrap etc.) classifiable under Chapter 72 of the HSN. The Noticee is duly registered under the CGST Act, 2017 and the MGST Act, 2017 and has been regularly filing its statutory returns in Form GSTR-1 and GSTR-3B, discharging its output tax liabilities, and maintaining books of accounts in the ordinary course of business.</w:t>
      </w:r>
    </w:p>
    <w:p>
      <w:r>
        <w:rPr>
          <w:rFonts w:ascii="Times New Roman" w:hAnsi="Times New Roman" w:cs="Times New Roman" w:eastAsia="Times New Roman"/>
          <w:sz w:val="22"/>
        </w:rPr>
        <w:t>During the period FY 2020-21 and FY 2021-22, the Noticee procured goods from various registered suppliers, including M/s Hira Steel (GSTIN: 27BLBPC3510J1ZK) and M/s Maharashtra Steel Traders (GSTIN: 27AFRPC5362D1ZH). At all material times, both the said suppliers were duly registered under the GST law, their registrations were active on the GSTN portal, they had filed their outward supply returns in Form GSTR-1 (as reflected in the Noticee's auto-populated GSTR-2A/2B), and they had discharged the corresponding tax liability. The Noticee received tax invoices, e-way bills and goods from the said suppliers, made payments strictly through banking channels, weighed the goods at independent public weighbridges (namely Ashwamegh Weighbridge, Maharashtra Weighbridge and Ambad Gaon Weighbridge), further sold the goods to its customers on payment of applicable GST, and reflected all such transactions in its books of accounts.</w:t>
      </w:r>
    </w:p>
    <w:p>
      <w:r>
        <w:rPr>
          <w:rFonts w:ascii="Times New Roman" w:hAnsi="Times New Roman" w:cs="Times New Roman" w:eastAsia="Times New Roman"/>
          <w:sz w:val="22"/>
        </w:rPr>
        <w:t>Preliminary objections: (i) The entire proceedings are vitiated by the fact that the Noticee's books of accounts, purchase invoices, e-way bills, weighment slips, delivery challans and related records were seized by the State GST authorities and thereafter transferred to the Central GST authorities on 18.10.2022 — the same records are in the custody of the department itself. It is grossly unjust to draw an adverse inference against the Noticee for "non-production" of documents which lie in the department's own possession. (ii) The Noticee has never been supplied with legible copies of the Relied Upon Documents (RUDs) mentioned at Sr. No. (i) to (viii) of the SCN — the same are hereby demanded in terms of Rule 142 read with principles of natural justice, and time to file a further/supplementary reply is sought after inspection thereof. (iii) No opportunity of cross-examination has been afforded of Shri Hafizullah Ajimullah Choudhari, Shri Ajimullah Naim Choudhari, or of any of the 23 transporters/vehicle owners whose statements/letters are relied upon — such reliance is impermissible in law and offends Section 9D of the erstwhile Central Excise Act (mutatis mutandis applied) and the settled principles laid down by the Hon'ble Supreme Court in Andaman Timber Industries v. CCE [2015 (324) ELT 641 (SC)].</w:t>
      </w:r>
    </w:p>
    <w:p/>
    <w:p>
      <w:pPr>
        <w:pStyle w:val="Heading2"/>
      </w:pPr>
      <w:r>
        <w:rPr>
          <w:b w:val="on"/>
          <w:sz w:val="24"/>
        </w:rPr>
        <w:t>3. Ground A – Substantive Compliance with Section 16 of the CGST Act, 2017; ITC Rightfully Availed</w:t>
      </w:r>
    </w:p>
    <w:p>
      <w:r>
        <w:rPr>
          <w:rFonts w:ascii="Times New Roman" w:hAnsi="Times New Roman" w:cs="Times New Roman" w:eastAsia="Times New Roman"/>
          <w:sz w:val="22"/>
        </w:rPr>
        <w:t>The impugned SCN alleges violation of Sections 16(1), 16(2)(a) and 16(2)(b) of the CGST Act, 2017. This allegation is factually and legally untenable. The Noticee has satisfied each and every condition prescribed under Section 16(2), namely:</w:t>
      </w:r>
    </w:p>
    <w:p>
      <w:r>
        <w:rPr>
          <w:rFonts w:ascii="Times New Roman" w:hAnsi="Times New Roman" w:cs="Times New Roman" w:eastAsia="Times New Roman"/>
          <w:sz w:val="22"/>
        </w:rPr>
        <w:t>(a) Possession of tax invoice [Section 16(2)(a)]: The Noticee is in possession of valid tax invoices issued by M/s Hira Steel and M/s Maharashtra Steel Traders, both of which were registered persons under the Act at the relevant time. The invoices contain all particulars mandated under Rule 46 of the CGST Rules, 2017.</w:t>
      </w:r>
    </w:p>
    <w:p>
      <w:r>
        <w:rPr>
          <w:rFonts w:ascii="Times New Roman" w:hAnsi="Times New Roman" w:cs="Times New Roman" w:eastAsia="Times New Roman"/>
          <w:sz w:val="22"/>
        </w:rPr>
        <w:t>(b) Receipt of goods [Section 16(2)(b)]: The Noticee has physically received the goods, which is corroborated by (i) weighment slips issued by independent public weighbridges — a fact not disputed and admitted in the statement dated 05.07.2022 (RUD-5); (ii) e-way bills generated on the common portal; (iii) delivery challans; (iv) subsequent onward sale of the very same goods on payment of output GST, which sales stand accepted by the department. If, as alleged, no goods were received, the department must then explain the source of the goods that admittedly went out on the Noticee's outward supply invoices — no such investigation or finding is on record.</w:t>
      </w:r>
    </w:p>
    <w:p>
      <w:r>
        <w:rPr>
          <w:rFonts w:ascii="Times New Roman" w:hAnsi="Times New Roman" w:cs="Times New Roman" w:eastAsia="Times New Roman"/>
          <w:sz w:val="22"/>
        </w:rPr>
        <w:t>(c) Payment of tax by supplier [Section 16(2)(c)]: The suppliers filed their GSTR-1 and GSTR-3B and paid the corresponding tax. The department's own SCNs dated 31.07.2024 issued to the suppliers (RUD-3 and RUD-4) demand tax from the suppliers, thereby confirming that the tax stood credited to the Government exchequer.</w:t>
      </w:r>
    </w:p>
    <w:p>
      <w:r>
        <w:rPr>
          <w:rFonts w:ascii="Times New Roman" w:hAnsi="Times New Roman" w:cs="Times New Roman" w:eastAsia="Times New Roman"/>
          <w:sz w:val="22"/>
        </w:rPr>
        <w:t>(d) Payment of consideration [Section 16(2)(d)/Rule 37]: The consideration for each and every invoice was paid through banking channels — this fact is undisputed and stands admitted at Para 3.5 and 3.9 of the SCN itself. Ledger accounts evidencing such banking payments have already been placed on record.</w:t>
      </w:r>
    </w:p>
    <w:p>
      <w:r>
        <w:rPr>
          <w:rFonts w:ascii="Times New Roman" w:hAnsi="Times New Roman" w:cs="Times New Roman" w:eastAsia="Times New Roman"/>
          <w:sz w:val="22"/>
        </w:rPr>
        <w:t>Reliance is placed on the landmark judgment of the Hon'ble Calcutta High Court in Suncraft Energy Pvt. Ltd. v. Assistant Commissioner, State Tax [2023 (79) GSTL 421 (Cal.); MAT 1218 of 2023], wherein it was authoritatively held that ITC cannot be denied to a bona fide recipient on the ground of default by the supplier, without first proceeding against the supplier and without establishing collusion between the recipient and the supplier. This ruling stands affirmed by the Hon'ble Supreme Court by dismissal of the department's SLP. Further reliance is placed on the celebrated judgment of the Hon'ble Madras High Court in M/s D.Y. Beathel Enterprises v. State Tax Officer [2022 (58) GSTL 269 (Mad.); W.P.(MD) No. 2127 of 2021], wherein it was categorically held that where the selling dealer has not remitted the tax, or where allegations of non-supply are levelled, the department must first proceed against the selling dealer and cannot fasten liability on the recipient without examining the seller and offering cross-examination. Also relied upon is the judgment of the Hon'ble Supreme Court in State of Karnataka v. Ecom Gill Coffee Trading Pvt. Ltd. [2023 (72) GSTL 129 (SC)] — read correctly, the said judgment requires the recipient to establish receipt of goods, which the Noticee has amply done in the present case.</w:t>
      </w:r>
    </w:p>
    <w:p/>
    <w:p>
      <w:pPr>
        <w:pStyle w:val="Heading2"/>
      </w:pPr>
      <w:r>
        <w:rPr>
          <w:b w:val="on"/>
          <w:sz w:val="24"/>
        </w:rPr>
        <w:t>4. Ground B – Invocation of Section 74 is Wholly Unsustainable; No Fraud, Wilful Misstatement or Suppression</w:t>
      </w:r>
    </w:p>
    <w:p>
      <w:r>
        <w:rPr>
          <w:rFonts w:ascii="Times New Roman" w:hAnsi="Times New Roman" w:cs="Times New Roman" w:eastAsia="Times New Roman"/>
          <w:sz w:val="22"/>
        </w:rPr>
        <w:t>The invocation of the extended period and Section 74(1) of the CGST Act, 2017 is patently misconceived and legally unsustainable. Section 74 can be invoked only where there exists (i) fraud, (ii) wilful misstatement, or (iii) suppression of facts, and each of these ingredients must be with an intent to evade tax. The burden to establish these ingredients lies squarely upon the Revenue and cannot be discharged by mere assertion or by a pro forma recital in the SCN.</w:t>
      </w:r>
    </w:p>
    <w:p>
      <w:r>
        <w:rPr>
          <w:rFonts w:ascii="Times New Roman" w:hAnsi="Times New Roman" w:cs="Times New Roman" w:eastAsia="Times New Roman"/>
          <w:sz w:val="22"/>
        </w:rPr>
        <w:t>The Hon'ble Supreme Court in Pushpam Pharmaceuticals Company v. CCE, Bombay [1995 (78) ELT 401 (SC)] has authoritatively held that "suppression" must be deliberate and with an intent to escape payment of duty; mere omission or non-payment is not enough. This position has been consistently followed in CCE v. Chemphar Drugs &amp; Liniments [1989 (40) ELT 276 (SC)], Cosmic Dye Chemical v. CCE [1995 (75) ELT 721 (SC)], Uniworth Textiles Ltd. v. CCE [2013 (288) ELT 161 (SC)], and more recently in CCE v. Northern Operating Systems Pvt. Ltd. [2022 (61) GSTL 129 (SC)].</w:t>
      </w:r>
    </w:p>
    <w:p>
      <w:r>
        <w:rPr>
          <w:rFonts w:ascii="Times New Roman" w:hAnsi="Times New Roman" w:cs="Times New Roman" w:eastAsia="Times New Roman"/>
          <w:sz w:val="22"/>
        </w:rPr>
        <w:t>In the present case: (i) the Noticee duly reflected each and every invoice in its GSTR-3B returns, which are matched with the supplier's GSTR-1 auto-populating in GSTR-2A/2B — hence there is no "non-declaration" and no "suppression" within the meaning of Explanation 2 to Section 74; (ii) the Noticee cooperated with the investigation, appeared for statements on 05.07.2022, 21.12.2022 and 30.03.2026, and submitted such records as were available (the balance being in departmental custody); (iii) no positive act of concealment, no fabricated document, and no collusion has been alleged or proved against the Noticee; (iv) allegations pertaining to vehicle numbers, conduct of transporters, and dealings of the suppliers with their upstream suppliers (M/s Gajanan Enterprise, M/s Gauri Ispat, M/s Tej Steel) are matters entirely beyond the knowledge and control of the Noticee — the Noticee, being a downstream purchaser, cannot be visited with the consequences of alleged upstream misdemeanours. Reference is made to CBIC Instruction No. 01/2022-23 [GST-Investigation] dated 25.05.2022 and Circular No. 171/03/2022-GST dated 06.07.2022, wherein the Board itself recognises that penal action for fake ITC must be preceded by clear evidence of connivance.</w:t>
      </w:r>
    </w:p>
    <w:p>
      <w:r>
        <w:rPr>
          <w:rFonts w:ascii="Times New Roman" w:hAnsi="Times New Roman" w:cs="Times New Roman" w:eastAsia="Times New Roman"/>
          <w:sz w:val="22"/>
        </w:rPr>
        <w:t>Accordingly, at the highest, only Section 73 could have been invoked, and the SCN having been issued under Section 74 without any of its jurisdictional ingredients being satisfied, the entire proceeding is without jurisdiction and liable to be dropped in limine.</w:t>
      </w:r>
    </w:p>
    <w:p/>
    <w:p>
      <w:pPr>
        <w:pStyle w:val="Heading2"/>
      </w:pPr>
      <w:r>
        <w:rPr>
          <w:b w:val="on"/>
          <w:sz w:val="24"/>
        </w:rPr>
        <w:t>5. Ground C – Third-Party Statements, Discrepancies in Vehicle Numbers and Non-Examination of Transporters Cannot Fasten Liability on the Noticee</w:t>
      </w:r>
    </w:p>
    <w:p>
      <w:r>
        <w:rPr>
          <w:rFonts w:ascii="Times New Roman" w:hAnsi="Times New Roman" w:cs="Times New Roman" w:eastAsia="Times New Roman"/>
          <w:sz w:val="22"/>
        </w:rPr>
        <w:t>The entire edifice of the impugned SCN rests on: (a) statements of the proprietors of the two supplier firms; (b) statements/letters of some 23 transporters (out of hundreds of transactions); and (c) alleged discrepancies in vehicle registration numbers noted from the E-Vahan portal. Each of these grounds is legally infirm.</w:t>
      </w:r>
    </w:p>
    <w:p>
      <w:r>
        <w:rPr>
          <w:rFonts w:ascii="Times New Roman" w:hAnsi="Times New Roman" w:cs="Times New Roman" w:eastAsia="Times New Roman"/>
          <w:sz w:val="22"/>
        </w:rPr>
        <w:t>(a) Third-party statements are not admissible without cross-examination. The statements of Shri Hafizullah Ajimullah Choudhari (RUD-1) and Shri Ajimullah Naim Choudhari (RUD-2) are self-serving statements by co-accused seeking to shift blame; such statements have no evidentiary value unless (i) the makers are examined-in-chief before the adjudicating authority, and (ii) the Noticee is granted an opportunity to cross-examine. This is the ratio of Andaman Timber Industries v. CCE [(2015) 15 SCC 785], followed uniformly by all High Courts. Denial of cross-examination amounts to serious violation of natural justice and vitiates the proceedings.</w:t>
      </w:r>
    </w:p>
    <w:p>
      <w:r>
        <w:rPr>
          <w:rFonts w:ascii="Times New Roman" w:hAnsi="Times New Roman" w:cs="Times New Roman" w:eastAsia="Times New Roman"/>
          <w:sz w:val="22"/>
        </w:rPr>
        <w:t>(b) Vehicle number discrepancies are, at worst, discrepancies in the supplier's e-way bill entries. Under the GST scheme, e-way bills are generated by the consignor/transporter. The Noticee, as the recipient, has no role in generating the e-way bill or entering vehicle numbers. The proprietor of the Noticee has categorically stated (in RUD-6) that he had never physically verified vehicle numbers, and that in a "free delivery" arrangement, such verification is neither expected of, nor practicable for, the recipient. Adverse inference on account of clerical errors in the supplier's e-way bill data — including transposition of digits or reuse of numbers — cannot be drawn against the Noticee absent evidence of connivance.</w:t>
      </w:r>
    </w:p>
    <w:p>
      <w:r>
        <w:rPr>
          <w:rFonts w:ascii="Times New Roman" w:hAnsi="Times New Roman" w:cs="Times New Roman" w:eastAsia="Times New Roman"/>
          <w:sz w:val="22"/>
        </w:rPr>
        <w:t>(c) Sample-based statements of 23 transporters cannot be extrapolated. The impugned SCN itself admits at Para 3.8 that transporter statements were recorded "on sample basis." Of these 23, several (Sr. Nos. 8, 10, 11, 12, 13, 17, 18, 19, 20, 21) admit to having transported goods to various entities, and two (Sr. Nos. 14, 15) could not confirm with certainty. Only a fraction categorically denied transportation. To leap from such a small and inconclusive sample to a sweeping conclusion that the entirety of ITC of ₹11,36,93,005/- is fake is a leap not warranted by the evidence. Quantum-wise correlation between the denying transporters and specific invoices has not been demonstrated in the SCN.</w:t>
      </w:r>
    </w:p>
    <w:p>
      <w:r>
        <w:rPr>
          <w:rFonts w:ascii="Times New Roman" w:hAnsi="Times New Roman" w:cs="Times New Roman" w:eastAsia="Times New Roman"/>
          <w:sz w:val="22"/>
        </w:rPr>
        <w:t>(d) The SCN admits inability to quantify. At Para 3.12, the department itself candidly records that "it is not feasible to segregate the value of ITC attributable to actual receipt of goods from that pertaining to supplies without goods" and "it is also not possible to quantify the exact amount of ITC passed on without supply of goods." A demand which the issuing authority itself concedes to be incapable of precise quantification is legally unsustainable. A demand must be based on evidence, not on estimation or presumption — see Oudh Sugar Mills v. UOI [1978 (2) ELT J172 (SC)].</w:t>
      </w:r>
    </w:p>
    <w:p/>
    <w:p>
      <w:pPr>
        <w:pStyle w:val="Heading2"/>
      </w:pPr>
      <w:r>
        <w:rPr>
          <w:b w:val="on"/>
          <w:sz w:val="24"/>
        </w:rPr>
        <w:t>6. Ground D – Discrepancy in Demand Figure; Non-Compliance with CBIC Circulars and Board Instructions</w:t>
      </w:r>
    </w:p>
    <w:p>
      <w:r>
        <w:rPr>
          <w:rFonts w:ascii="Times New Roman" w:hAnsi="Times New Roman" w:cs="Times New Roman" w:eastAsia="Times New Roman"/>
          <w:sz w:val="22"/>
        </w:rPr>
        <w:t>The impugned SCN is also afflicted by an internal contradiction: the tabulation at Para 3.3 quantifies the alleged ITC at ₹4,49,73,853/- (from M/s Hira Steel) and ₹6,87,19,152/- (from M/s Maharashtra Steel Traders) for the period FY 2020-21 and FY 2021-22 combined. However, the ledger of the demand and the recitals in Para 3.13 and the prayer clause (Para 11) allege availment during "January 2021 to March 2022," thus impermissibly conflating two financial years. The tax period in the notice header, however, is stated as FY 2020-21. This inconsistency is fatal — the Noticee is entitled to know with clarity the exact period and quantum of the alleged wrong availment. See Amrit Foods v. CCE [2005 (190) ELT 433 (SC)] and CCE v. Brindavan Beverages [2007 (213) ELT 487 (SC)].</w:t>
      </w:r>
    </w:p>
    <w:p>
      <w:r>
        <w:rPr>
          <w:rFonts w:ascii="Times New Roman" w:hAnsi="Times New Roman" w:cs="Times New Roman" w:eastAsia="Times New Roman"/>
          <w:sz w:val="22"/>
        </w:rPr>
        <w:t>Further, Circular No. 171/03/2022-GST dated 06.07.2022 issued by the CBIC clarifies the treatment of fake invoicing and specifically provides that in case of the recipient, action under Section 74 is warranted only where the recipient has availed ITC without receipt of goods and has utilised the same for payment of tax with an intent to defraud — the circular envisages a two-pronged inquiry: (i) whether the recipient actually received the goods, and (ii) whether there was mens rea. In the present case, receipt of goods stands corroborated by weighment slips, banking payments and onward taxable supplies, and mens rea has been neither pleaded nor proved. The impugned SCN thus travels beyond the four corners of the Board's own binding circular, which is impermissible per Ratan Melting &amp; Wire Industries [(2008) 231 ELT 22 (SC)].</w:t>
      </w:r>
    </w:p>
    <w:p>
      <w:r>
        <w:rPr>
          <w:rFonts w:ascii="Times New Roman" w:hAnsi="Times New Roman" w:cs="Times New Roman" w:eastAsia="Times New Roman"/>
          <w:sz w:val="22"/>
        </w:rPr>
        <w:t>Additionally, CBIC Instruction No. 01/2022-23 [GST-Investigation] dated 25.05.2022 directs field formations not to resort to coercive recovery during investigation. Any deposits (if any) made by the Noticee during the pendency of these proceedings shall be deemed to be under protest, not voluntary, and shall be available for refund in the event the SCN is dropped.</w:t>
      </w:r>
    </w:p>
    <w:p/>
    <w:p>
      <w:pPr>
        <w:pStyle w:val="Heading2"/>
      </w:pPr>
      <w:r>
        <w:rPr>
          <w:b w:val="on"/>
          <w:sz w:val="24"/>
        </w:rPr>
        <w:t>7. Prayer for Relief</w:t>
      </w:r>
    </w:p>
    <w:p>
      <w:r>
        <w:rPr>
          <w:rFonts w:ascii="Times New Roman" w:hAnsi="Times New Roman" w:cs="Times New Roman" w:eastAsia="Times New Roman"/>
          <w:sz w:val="22"/>
        </w:rPr>
        <w:t>In view of the foregoing facts, submissions and settled legal position, it is most respectfully prayed that this Hon'ble Adjudicating Authority may be pleased to:</w:t>
      </w:r>
    </w:p>
    <w:p/>
    <w:p>
      <w:pPr>
        <w:ind w:left="720"/>
      </w:pPr>
      <w:r>
        <w:rPr>
          <w:rFonts w:ascii="Times New Roman" w:hAnsi="Times New Roman" w:cs="Times New Roman" w:eastAsia="Times New Roman"/>
          <w:sz w:val="22"/>
        </w:rPr>
        <w:t>• DROP the entire proceedings initiated vide the impugned Show Cause Cum Demand Notice bearing F.No. GEXCOM/AE/INV/GST/1886/2026 dated 17.09.2026 in its entirety;</w:t>
      </w:r>
    </w:p>
    <w:p>
      <w:pPr>
        <w:ind w:left="720"/>
      </w:pPr>
      <w:r>
        <w:rPr>
          <w:rFonts w:ascii="Times New Roman" w:hAnsi="Times New Roman" w:cs="Times New Roman" w:eastAsia="Times New Roman"/>
          <w:sz w:val="22"/>
        </w:rPr>
        <w:t>• HOLD that the ITC of ₹11,36,93,005/- (CGST ₹5,68,46,502.50 + SGST ₹5,68,46,502.50) availed by the Noticee on the strength of invoices issued by M/s Hira Steel and M/s Maharashtra Steel Traders is validly availed in accordance with Section 16 of the CGST Act, 2017;</w:t>
      </w:r>
    </w:p>
    <w:p>
      <w:pPr>
        <w:ind w:left="720"/>
      </w:pPr>
      <w:r>
        <w:rPr>
          <w:rFonts w:ascii="Times New Roman" w:hAnsi="Times New Roman" w:cs="Times New Roman" w:eastAsia="Times New Roman"/>
          <w:sz w:val="22"/>
        </w:rPr>
        <w:t>• HOLD that the invocation of the extended period of limitation and Section 74(1) of the CGST Act, 2017 is unsustainable in the absence of fraud, wilful misstatement or suppression of facts on the part of the Noticee;</w:t>
      </w:r>
    </w:p>
    <w:p>
      <w:pPr>
        <w:ind w:left="720"/>
      </w:pPr>
      <w:r>
        <w:rPr>
          <w:rFonts w:ascii="Times New Roman" w:hAnsi="Times New Roman" w:cs="Times New Roman" w:eastAsia="Times New Roman"/>
          <w:sz w:val="22"/>
        </w:rPr>
        <w:t>• SUPPLY legible copies of all Relied Upon Documents (RUD-1 to RUD-8) and grant an opportunity to file a supplementary/additional reply after inspection thereof;</w:t>
      </w:r>
    </w:p>
    <w:p>
      <w:pPr>
        <w:ind w:left="720"/>
      </w:pPr>
      <w:r>
        <w:rPr>
          <w:rFonts w:ascii="Times New Roman" w:hAnsi="Times New Roman" w:cs="Times New Roman" w:eastAsia="Times New Roman"/>
          <w:sz w:val="22"/>
        </w:rPr>
        <w:t>• GRANT the Noticee an opportunity to cross-examine the proprietors of M/s Hira Steel and M/s Maharashtra Steel Traders and each of the transporters/vehicle owners whose statements/letters are relied upon in the impugned SCN, in terms of Section 75(4) of the CGST Act, 2017 read with the ratio of Andaman Timber Industries (supra);</w:t>
      </w:r>
    </w:p>
    <w:p>
      <w:pPr>
        <w:ind w:left="720"/>
      </w:pPr>
      <w:r>
        <w:rPr>
          <w:rFonts w:ascii="Times New Roman" w:hAnsi="Times New Roman" w:cs="Times New Roman" w:eastAsia="Times New Roman"/>
          <w:sz w:val="22"/>
        </w:rPr>
        <w:t>• GRANT a personal hearing to the Noticee, through its authorised representative, before passing any adverse order; and</w:t>
      </w:r>
    </w:p>
    <w:p>
      <w:pPr>
        <w:ind w:left="720"/>
      </w:pPr>
      <w:r>
        <w:rPr>
          <w:rFonts w:ascii="Times New Roman" w:hAnsi="Times New Roman" w:cs="Times New Roman" w:eastAsia="Times New Roman"/>
          <w:sz w:val="22"/>
        </w:rPr>
        <w:t>• PASS such further or other order(s) as this Hon'ble Adjudicating Authority may deem fit and proper in the facts and circumstances of the case.</w:t>
      </w:r>
    </w:p>
    <w:p>
      <w:r>
        <w:rPr>
          <w:rFonts w:ascii="Times New Roman" w:hAnsi="Times New Roman" w:cs="Times New Roman" w:eastAsia="Times New Roman"/>
          <w:sz w:val="22"/>
        </w:rPr>
        <w:t>The Noticee expressly reserves the right to file additional written submissions, place further documents on record, and take such further legal recourse as may be advised.</w:t>
      </w:r>
    </w:p>
    <w:p>
      <w:r>
        <w:rPr>
          <w:rFonts w:ascii="Times New Roman" w:hAnsi="Times New Roman" w:cs="Times New Roman" w:eastAsia="Times New Roman"/>
          <w:sz w:val="22"/>
        </w:rPr>
        <w:t>Nothing stated hereinabove shall be construed as an admission of any liability, expressed or implied, on the part of the Noticee.</w:t>
      </w:r>
    </w:p>
    <w:p>
      <w:r>
        <w:rPr>
          <w:rFonts w:ascii="Times New Roman" w:hAnsi="Times New Roman" w:cs="Times New Roman" w:eastAsia="Times New Roman"/>
          <w:sz w:val="22"/>
        </w:rPr>
        <w:t>For and on behalf of M/s H R Steel (Proprietor: Shri Juned Aliahmed Chaudhari) GSTIN: 27AGZPC3957D1Z2</w:t>
      </w:r>
    </w:p>
    <w:p>
      <w:r>
        <w:rPr>
          <w:rFonts w:ascii="Times New Roman" w:hAnsi="Times New Roman" w:cs="Times New Roman" w:eastAsia="Times New Roman"/>
          <w:sz w:val="22"/>
        </w:rPr>
        <w:t>_____________________________ Authorised Signatory Place: Nashik Date: ______________</w:t>
      </w:r>
    </w:p>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2026-09-27T15:16:12Z</dcterms:created>
  <dc:creator>Apache POI</dc:creator>
</cp:coreProperties>
</file>