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aps w:val="false"/>
          <w:sz w:val="28"/>
          <w:szCs w:val="28"/>
        </w:rPr>
        <w:t xml:space="preserve">FORM GST APL-01</w:t>
      </w:r>
    </w:p>
    <w:p>
      <w:pPr>
        <w:spacing w:after="80"/>
        <w:jc w:val="center"/>
      </w:pPr>
      <w:r>
        <w:rPr>
          <w:rFonts w:ascii="Times New Roman" w:cs="Times New Roman" w:eastAsia="Times New Roman" w:hAnsi="Times New Roman"/>
          <w:b w:val="false"/>
          <w:bCs w:val="false"/>
          <w:caps w:val="false"/>
          <w:sz w:val="22"/>
          <w:szCs w:val="22"/>
        </w:rPr>
        <w:t xml:space="preserve">[See Rule 108(1) of the CGST/SGST Rules, 2017]</w:t>
      </w:r>
    </w:p>
    <w:p>
      <w:pPr>
        <w:spacing w:after="160"/>
        <w:jc w:val="center"/>
      </w:pPr>
      <w:r>
        <w:rPr>
          <w:rFonts w:ascii="Times New Roman" w:cs="Times New Roman" w:eastAsia="Times New Roman" w:hAnsi="Times New Roman"/>
          <w:b/>
          <w:bCs/>
          <w:caps w:val="false"/>
          <w:sz w:val="24"/>
          <w:szCs w:val="24"/>
        </w:rPr>
        <w:t xml:space="preserve">APPEAL TO THE APPELLATE AUTHORITY</w:t>
      </w:r>
    </w:p>
    <w:p>
      <w:pPr>
        <w:spacing w:after="40"/>
        <w:jc w:val="center"/>
      </w:pPr>
      <w:r>
        <w:rPr>
          <w:rFonts w:ascii="Times New Roman" w:cs="Times New Roman" w:eastAsia="Times New Roman" w:hAnsi="Times New Roman"/>
          <w:b/>
          <w:bCs/>
          <w:caps w:val="false"/>
          <w:sz w:val="24"/>
          <w:szCs w:val="24"/>
        </w:rPr>
        <w:t xml:space="preserve">BEFORE THE LEARNED APPELLATE AUTHORITY</w:t>
      </w:r>
    </w:p>
    <w:p>
      <w:pPr>
        <w:spacing w:after="160"/>
        <w:jc w:val="center"/>
      </w:pPr>
      <w:r>
        <w:rPr>
          <w:rFonts w:ascii="Times New Roman" w:cs="Times New Roman" w:eastAsia="Times New Roman" w:hAnsi="Times New Roman"/>
          <w:b w:val="false"/>
          <w:bCs w:val="false"/>
          <w:caps w:val="false"/>
          <w:sz w:val="22"/>
          <w:szCs w:val="22"/>
        </w:rPr>
        <w:t xml:space="preserve">[DESIGNATION / OFFICE OF THE APPELLATE AUTHORITY]  |  [STATION]</w:t>
      </w:r>
    </w:p>
    <w:p>
      <w:pPr>
        <w:spacing w:after="20" w:line="276"/>
        <w:jc w:val="both"/>
      </w:pPr>
      <w:r>
        <w:rPr>
          <w:rFonts w:ascii="Times New Roman" w:cs="Times New Roman" w:eastAsia="Times New Roman" w:hAnsi="Times New Roman"/>
          <w:b/>
          <w:bCs/>
          <w:i w:val="false"/>
          <w:iCs w:val="false"/>
          <w:caps w:val="false"/>
          <w:sz w:val="24"/>
          <w:szCs w:val="24"/>
        </w:rPr>
        <w:t xml:space="preserve">IN THE MATTER OF:</w:t>
      </w:r>
    </w:p>
    <w:p>
      <w:pPr>
        <w:spacing w:after="10" w:line="276"/>
        <w:jc w:val="both"/>
      </w:pPr>
      <w:r>
        <w:rPr>
          <w:rFonts w:ascii="Times New Roman" w:cs="Times New Roman" w:eastAsia="Times New Roman" w:hAnsi="Times New Roman"/>
          <w:b w:val="false"/>
          <w:bCs w:val="false"/>
          <w:i w:val="false"/>
          <w:iCs w:val="false"/>
          <w:caps w:val="false"/>
          <w:sz w:val="24"/>
          <w:szCs w:val="24"/>
        </w:rPr>
        <w:t xml:space="preserve">Impugned Order in Form GST DRC-07 / Order-in-Original, Reference No. [____] dated [____],</w:t>
      </w:r>
    </w:p>
    <w:p>
      <w:pPr>
        <w:spacing w:after="10" w:line="276"/>
        <w:jc w:val="both"/>
      </w:pPr>
      <w:r>
        <w:rPr>
          <w:rFonts w:ascii="Times New Roman" w:cs="Times New Roman" w:eastAsia="Times New Roman" w:hAnsi="Times New Roman"/>
          <w:b w:val="false"/>
          <w:bCs w:val="false"/>
          <w:i w:val="false"/>
          <w:iCs w:val="false"/>
          <w:caps w:val="false"/>
          <w:sz w:val="24"/>
          <w:szCs w:val="24"/>
        </w:rPr>
        <w:t xml:space="preserve">passed by the Learned Proper Officer of State Tax, [Designation / Charge],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(arising out of Show Cause Notice in Form GST DRC-01, Reference No. [____] dated [____], under Section 74(1)).</w:t>
      </w:r>
    </w:p>
    <w:p>
      <w:pPr>
        <w:spacing w:after="20" w:line="276"/>
        <w:jc w:val="both"/>
      </w:pPr>
      <w:r>
        <w:rPr>
          <w:rFonts w:ascii="Times New Roman" w:cs="Times New Roman" w:eastAsia="Times New Roman" w:hAnsi="Times New Roman"/>
          <w:b/>
          <w:bCs/>
          <w:i w:val="false"/>
          <w:iCs w:val="false"/>
          <w:caps w:val="false"/>
          <w:sz w:val="24"/>
          <w:szCs w:val="24"/>
        </w:rPr>
        <w:t xml:space="preserve">AND IN THE MATTER OF:</w:t>
      </w:r>
    </w:p>
    <w:p>
      <w:pPr>
        <w:spacing w:after="10" w:line="276"/>
        <w:jc w:val="both"/>
      </w:pPr>
      <w:r>
        <w:rPr>
          <w:rFonts w:ascii="Times New Roman" w:cs="Times New Roman" w:eastAsia="Times New Roman" w:hAnsi="Times New Roman"/>
          <w:b/>
          <w:bCs/>
          <w:i w:val="false"/>
          <w:iCs w:val="false"/>
          <w:caps w:val="false"/>
          <w:sz w:val="24"/>
          <w:szCs w:val="24"/>
        </w:rPr>
        <w:t xml:space="preserve">M/s Noticedesk Technologies Private Limited — Appellant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GSTIN [____________]  |  [Registered Address]  |  through its Authorised Representative</w:t>
      </w:r>
    </w:p>
    <w:p>
      <w:pPr>
        <w:spacing w:after="120"/>
        <w:jc w:val="center"/>
      </w:pPr>
      <w:r>
        <w:rPr>
          <w:rFonts w:ascii="Times New Roman" w:cs="Times New Roman" w:eastAsia="Times New Roman" w:hAnsi="Times New Roman"/>
          <w:b/>
          <w:bCs/>
          <w:caps w:val="false"/>
          <w:sz w:val="24"/>
          <w:szCs w:val="24"/>
        </w:rPr>
        <w:t xml:space="preserve">MEMORANDUM OF APPEAL, STATEMENT OF FACTS AND GROUNDS OF APPEAL</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to be completed from the certified record. Every case authority is marked [VERIFY] for a final reporter-check before filing. The allegation as recited (supply without actual movement of goods, in alleged violation of Section 16(2)), the invocation of Section 74(1), and the cancellation of registration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This appeal challenges the Impugned Order by which, arising out of a show cause notice under Section 74(1) alleging supply without actual movement of goods, the registration of the Appellant came to be cancelled and a demand confirmed. The appeal is pressed on grounds each independently sufficient: the order is non-speaking and was passed in breach of natural justice; the invocation of Section 74 is without the jurisdictional fact of fraud, wilful misstatement or suppression; the allegation of ‘no movement of goods’ is unsupported by any independent finding; and the cancellation is a disproportionate, drastic measure carrying serious civil consequences, the conditions for revocation under Section 30 read with Rule 23 being satisfied. The Appellant prays that the Impugned Order be set aside, the demand quashed, and the registration restored.</w:t>
      </w:r>
    </w:p>
    <w:p>
      <w:pPr>
        <w:pStyle w:val="Heading1"/>
        <w:spacing w:after="160" w:before="260"/>
      </w:pPr>
      <w:r>
        <w:rPr>
          <w:rFonts w:ascii="Times New Roman" w:cs="Times New Roman" w:eastAsia="Times New Roman" w:hAnsi="Times New Roman"/>
          <w:b/>
          <w:bCs/>
          <w:caps/>
          <w:sz w:val="26"/>
          <w:szCs w:val="26"/>
        </w:rPr>
        <w:t xml:space="preserve">List of Dates and Events</w:t>
      </w:r>
    </w:p>
    <w:p>
      <w:pPr>
        <w:spacing w:after="160" w:line="276"/>
        <w:jc w:val="both"/>
      </w:pPr>
      <w:r>
        <w:rPr>
          <w:rFonts w:ascii="Times New Roman" w:cs="Times New Roman" w:eastAsia="Times New Roman" w:hAnsi="Times New Roman"/>
          <w:b w:val="false"/>
          <w:bCs w:val="false"/>
          <w:i/>
          <w:iCs/>
          <w:caps w:val="false"/>
          <w:sz w:val="24"/>
          <w:szCs w:val="24"/>
        </w:rPr>
        <w:t xml:space="preserve">The dates below are to be completed from the certified record; they correspond to the chronology in the Statement of Facts.</w:t>
      </w:r>
    </w:p>
    <w:p>
      <w:pPr>
        <w:pStyle w:val="Heading1"/>
        <w:spacing w:after="160" w:before="260"/>
      </w:pPr>
      <w:r>
        <w:rPr>
          <w:rFonts w:ascii="Times New Roman" w:cs="Times New Roman" w:eastAsia="Times New Roman" w:hAnsi="Times New Roman"/>
          <w:b/>
          <w:bCs/>
          <w:caps/>
          <w:sz w:val="26"/>
          <w:szCs w:val="26"/>
        </w:rPr>
        <w:t xml:space="preserve">Form GST APL-01 — Statutory Particulars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statutory particulars required by Form GST APL-01 (the details of the impugned order, the amount of demand created, admitted and disputed, and the details of pre-deposit) are to be completed in the prescribed fields; the detailed Statement of Facts and Grounds of Appeal follow as Annexures.</w:t>
      </w:r>
    </w:p>
    <w:p>
      <w:pPr>
        <w:spacing w:after="120" w:before="120"/>
        <w:jc w:val="both"/>
      </w:pPr>
      <w:r>
        <w:rPr>
          <w:rFonts w:ascii="Times New Roman" w:cs="Times New Roman" w:eastAsia="Times New Roman" w:hAnsi="Times New Roman"/>
          <w:b/>
          <w:bCs/>
          <w:i/>
          <w:iCs/>
          <w:sz w:val="20"/>
          <w:szCs w:val="20"/>
        </w:rPr>
        <w:t xml:space="preserve">Note on pre-deposit: </w:t>
      </w:r>
      <w:r>
        <w:rPr>
          <w:rFonts w:ascii="Times New Roman" w:cs="Times New Roman" w:eastAsia="Times New Roman" w:hAnsi="Times New Roman"/>
          <w:i/>
          <w:iCs/>
          <w:sz w:val="20"/>
          <w:szCs w:val="20"/>
        </w:rPr>
        <w:t xml:space="preserve">An appeal under Section 107 lies on payment in full of the admitted amount and a sum equal to 10% of the remaining amount of tax in dispute, subject to the statutory ceiling. The details of admitted amount and of the 10% pre-deposit are to be completed in the APL-01 fields before filing.</w:t>
      </w:r>
    </w:p>
    <w:p>
      <w:pPr>
        <w:pStyle w:val="Heading1"/>
        <w:spacing w:after="160" w:before="260"/>
      </w:pPr>
      <w:r>
        <w:rPr>
          <w:rFonts w:ascii="Times New Roman" w:cs="Times New Roman" w:eastAsia="Times New Roman" w:hAnsi="Times New Roman"/>
          <w:b/>
          <w:bCs/>
          <w:caps/>
          <w:sz w:val="26"/>
          <w:szCs w:val="26"/>
        </w:rPr>
        <w:t xml:space="preserve">Annexure A — Statement of Facts</w:t>
      </w:r>
    </w:p>
    <w:p>
      <w:pPr>
        <w:spacing w:after="120" w:before="120"/>
        <w:jc w:val="both"/>
      </w:pPr>
      <w:r>
        <w:rPr>
          <w:rFonts w:ascii="Times New Roman" w:cs="Times New Roman" w:eastAsia="Times New Roman" w:hAnsi="Times New Roman"/>
          <w:b/>
          <w:bCs/>
          <w:i/>
          <w:iCs/>
          <w:sz w:val="20"/>
          <w:szCs w:val="20"/>
        </w:rPr>
        <w:t xml:space="preserve">Drafter’s note (to be removed before filing): </w:t>
      </w:r>
      <w:r>
        <w:rPr>
          <w:rFonts w:ascii="Times New Roman" w:cs="Times New Roman" w:eastAsia="Times New Roman" w:hAnsi="Times New Roman"/>
          <w:i/>
          <w:iCs/>
          <w:sz w:val="20"/>
          <w:szCs w:val="20"/>
        </w:rPr>
        <w:t xml:space="preserve">Two alternative recitals of the procedural history are set out — Variant A where the proceedings originated in scrutiny / audit (ASMT-10 / ADT-01 converging into the DRC-01A → DRC-01 → DRC-07 / cancellation chain), and Variant B where they originated in investigation / search. Select the correct variant on the certified record; delete the other before filing.</w:t>
      </w:r>
    </w:p>
    <w:p>
      <w:pPr>
        <w:pStyle w:val="Heading2"/>
        <w:spacing w:after="140" w:before="200"/>
      </w:pPr>
      <w:r>
        <w:rPr>
          <w:rFonts w:ascii="Times New Roman" w:cs="Times New Roman" w:eastAsia="Times New Roman" w:hAnsi="Times New Roman"/>
          <w:b/>
          <w:bCs/>
          <w:sz w:val="24"/>
          <w:szCs w:val="24"/>
        </w:rPr>
        <w:t xml:space="preserve">Variant A — Statement of Facts (scrutiny / audit origin)</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Appellant, M/s Noticedesk Technologies Private Limited, is a private limited company registered under the CGST and the corresponding State GST enactments, GSTIN [____________].</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proceedings originated in scrutiny / audit of the Appellant’s returns, culminating in the documents tabulated below.</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 (Variant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Scrutiny / audit initiated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ASMT-10 / ADT-01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furnished by the Appellant</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to ASMT-10 / ADT-01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Pre-SCN intimation</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DRC-01A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to DRC-01A</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Show Cause Notice under Section 74(1) — supply without actual movement of goods, alleged violation of Section 16(2)</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DRC-01, Reference No. [____] dated [____]</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Interim / detailed reply filed by the Appellant</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(Annexure-3)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Order confirming demand and cancelling registration</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DRC-07 / Order-in-Original, Ref. No. [____] dated [____]</w:t>
            </w:r>
          </w:p>
        </w:tc>
      </w:tr>
    </w:tbl>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case set up against the Appellant rested on the allegation that supplies were made without the actual movement of goods; the Appellant met the allegation at the earliest opportunity, producing its invoices, transport documents and payment records, and denied the allegation throughout.</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Impugned Order was passed without dealing with the Appellant’s replies, without adverting to the documents on record, and without any independent finding, and proceeded to confirm the demand and cancel the registration.</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Being aggrieved, the Appellant prefers this appeal within the period prescribed by Section 107, having made the pre-deposit. The facts are stated from the record; the Appellant reserves the right to supplement them.</w:t>
      </w:r>
    </w:p>
    <w:p>
      <w:pPr>
        <w:pStyle w:val="Heading2"/>
        <w:spacing w:after="140" w:before="200"/>
      </w:pPr>
      <w:r>
        <w:rPr>
          <w:rFonts w:ascii="Times New Roman" w:cs="Times New Roman" w:eastAsia="Times New Roman" w:hAnsi="Times New Roman"/>
          <w:b/>
          <w:bCs/>
          <w:sz w:val="24"/>
          <w:szCs w:val="24"/>
        </w:rPr>
        <w:t xml:space="preserve">Variant B — Statement of Facts (investigation / search origin)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Appellant is the registered person described above. Where the proceedings originated in investigation by the enforcement / anti-evasion wing rather than in return scrutiny, the chronology is as tabulated below.</w:t>
      </w:r>
    </w:p>
    <w:p>
      <w:pPr>
        <w:pStyle w:val="ListParagraph"/>
        <w:numPr>
          <w:ilvl w:val="0"/>
          <w:numId w:val="3"/>
        </w:numPr>
        <w:spacing w:after="140" w:line="276"/>
        <w:jc w:val="both"/>
      </w:pPr>
      <w:r>
        <w:rPr>
          <w:rFonts w:ascii="Times New Roman" w:cs="Times New Roman" w:eastAsia="Times New Roman" w:hAnsi="Times New Roman"/>
          <w:b/>
          <w:bCs/>
          <w:i w:val="false"/>
          <w:iCs w:val="false"/>
          <w:caps w:val="false"/>
          <w:sz w:val="24"/>
          <w:szCs w:val="24"/>
        </w:rPr>
        <w:t xml:space="preserve">Procedural chronology (Variant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Summons / search / investigation by the enforcement wing</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Summons under Section 70 / panchnama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Statement(s) recorded / documents resumed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Statement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Show Cause Notice under Section 74(1) — supply without actual movement of goods</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DRC-01, Reference No. [____] dated [____]</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filed by the Appellant</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(Annexure-3)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Order confirming demand and cancelling registration</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DRC-07 / Order-in-Original, Ref. No. [____] dated [____]</w:t>
            </w:r>
          </w:p>
        </w:tc>
      </w:tr>
    </w:tbl>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investigation proceeded on the premise that the supplies lacked actual movement of goods; the Appellant met the allegation from the stage of the summons through the reply to the SCN, producing its documentary trail and denying the allegation. The Impugned Order was passed without independent findings and without dealing with the Appellant’s replies, and cancelled the registration.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Being aggrieved, the Appellant prefers this appeal within the period prescribed by Section 107, having made the pre-deposit. The Appellant reserves the right to supplement the facts.</w:t>
      </w:r>
    </w:p>
    <w:p>
      <w:pPr>
        <w:pStyle w:val="Heading1"/>
        <w:spacing w:after="160" w:before="260"/>
      </w:pPr>
      <w:r>
        <w:rPr>
          <w:rFonts w:ascii="Times New Roman" w:cs="Times New Roman" w:eastAsia="Times New Roman" w:hAnsi="Times New Roman"/>
          <w:b/>
          <w:bCs/>
          <w:caps/>
          <w:sz w:val="26"/>
          <w:szCs w:val="26"/>
        </w:rPr>
        <w:t xml:space="preserve">Annexure B — Grounds of Appeal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framed to stand on its own. The Appellant, without reservation, DENIES the allegation that any supply was made without the actual movement of goods, and DENIES that the registration was liable to be cancelled or that any demand was sustainable.</w:t>
      </w:r>
    </w:p>
    <w:p>
      <w:pPr>
        <w:pStyle w:val="Heading2"/>
        <w:spacing w:after="140" w:before="200"/>
      </w:pPr>
      <w:r>
        <w:rPr>
          <w:rFonts w:ascii="Times New Roman" w:cs="Times New Roman" w:eastAsia="Times New Roman" w:hAnsi="Times New Roman"/>
          <w:b/>
          <w:bCs/>
          <w:sz w:val="24"/>
          <w:szCs w:val="24"/>
        </w:rPr>
        <w:t xml:space="preserve">Ground 1: The Impugned Order is non-speaking and was passed in breach of natural justice — Section 75(6)</w:t>
      </w:r>
    </w:p>
    <w:p>
      <w:pPr>
        <w:spacing w:after="160" w:line="276"/>
        <w:jc w:val="both"/>
      </w:pPr>
      <w:r>
        <w:rPr>
          <w:rFonts w:ascii="Times New Roman" w:cs="Times New Roman" w:eastAsia="Times New Roman" w:hAnsi="Times New Roman"/>
          <w:b/>
          <w:bCs/>
          <w:sz w:val="24"/>
          <w:szCs w:val="24"/>
        </w:rPr>
        <w:t xml:space="preserve">(a) The defect.</w:t>
      </w:r>
      <w:r>
        <w:rPr>
          <w:rFonts w:ascii="Times New Roman" w:cs="Times New Roman" w:eastAsia="Times New Roman" w:hAnsi="Times New Roman"/>
          <w:sz w:val="24"/>
          <w:szCs w:val="24"/>
        </w:rPr>
        <w:t xml:space="preserve"> The Appellant filed a reply traversing the allegation and producing its documents. The Impugned Order neither adverts to the reply nor records any reason for rejecting it, and confirms the demand and cancels the registration in a cryptic, non-speaking manner.</w:t>
      </w:r>
    </w:p>
    <w:p>
      <w:pPr>
        <w:spacing w:after="160" w:line="276"/>
        <w:jc w:val="both"/>
      </w:pPr>
      <w:r>
        <w:rPr>
          <w:rFonts w:ascii="Times New Roman" w:cs="Times New Roman" w:eastAsia="Times New Roman" w:hAnsi="Times New Roman"/>
          <w:b/>
          <w:bCs/>
          <w:sz w:val="24"/>
          <w:szCs w:val="24"/>
        </w:rPr>
        <w:t xml:space="preserve">(b) The law.</w:t>
      </w:r>
      <w:r>
        <w:rPr>
          <w:rFonts w:ascii="Times New Roman" w:cs="Times New Roman" w:eastAsia="Times New Roman" w:hAnsi="Times New Roman"/>
          <w:sz w:val="24"/>
          <w:szCs w:val="24"/>
        </w:rPr>
        <w:t xml:space="preserve"> Section 75(6) of the Act requires the adjudicating authority to set out the relevant facts and the basis of its decision in the order. An order that does not deal with the reply is a non-speaking order liable to be set aside; the obligation to give reasons is a basic incident of a quasi-judicial determination.</w:t>
      </w:r>
    </w:p>
    <w:p>
      <w:pPr>
        <w:spacing w:after="160" w:line="276"/>
        <w:jc w:val="both"/>
      </w:pPr>
      <w:r>
        <w:rPr>
          <w:rFonts w:ascii="Times New Roman" w:cs="Times New Roman" w:eastAsia="Times New Roman" w:hAnsi="Times New Roman"/>
          <w:b/>
          <w:bCs/>
          <w:sz w:val="24"/>
          <w:szCs w:val="24"/>
        </w:rPr>
        <w:t xml:space="preserve">(c) Relief sought.</w:t>
      </w:r>
      <w:r>
        <w:rPr>
          <w:rFonts w:ascii="Times New Roman" w:cs="Times New Roman" w:eastAsia="Times New Roman" w:hAnsi="Times New Roman"/>
          <w:sz w:val="24"/>
          <w:szCs w:val="24"/>
        </w:rPr>
        <w:t xml:space="preserve"> Set aside the Impugned Order as non-speaking; in the alternative, remit for a reasoned order after hearing.</w:t>
      </w:r>
    </w:p>
    <w:p>
      <w:pPr>
        <w:pStyle w:val="Heading2"/>
        <w:spacing w:after="140" w:before="200"/>
      </w:pPr>
      <w:r>
        <w:rPr>
          <w:rFonts w:ascii="Times New Roman" w:cs="Times New Roman" w:eastAsia="Times New Roman" w:hAnsi="Times New Roman"/>
          <w:b/>
          <w:bCs/>
          <w:sz w:val="24"/>
          <w:szCs w:val="24"/>
        </w:rPr>
        <w:t xml:space="preserve">Ground 2: The invocation of Section 74 is without jurisdiction — no fraud, wilful misstatement or suppression</w:t>
      </w:r>
    </w:p>
    <w:p>
      <w:pPr>
        <w:spacing w:after="160" w:line="276"/>
        <w:jc w:val="both"/>
      </w:pPr>
      <w:r>
        <w:rPr>
          <w:rFonts w:ascii="Times New Roman" w:cs="Times New Roman" w:eastAsia="Times New Roman" w:hAnsi="Times New Roman"/>
          <w:b/>
          <w:bCs/>
          <w:sz w:val="24"/>
          <w:szCs w:val="24"/>
        </w:rPr>
        <w:t xml:space="preserve">(a) The allegation.</w:t>
      </w:r>
      <w:r>
        <w:rPr>
          <w:rFonts w:ascii="Times New Roman" w:cs="Times New Roman" w:eastAsia="Times New Roman" w:hAnsi="Times New Roman"/>
          <w:sz w:val="24"/>
          <w:szCs w:val="24"/>
        </w:rPr>
        <w:t xml:space="preserve"> The notice was issued under Section 74(1), thereby alleging fraud, wilful misstatement, or suppression of facts to evade tax.</w:t>
      </w:r>
    </w:p>
    <w:p>
      <w:pPr>
        <w:spacing w:after="160" w:line="276"/>
        <w:jc w:val="both"/>
      </w:pPr>
      <w:r>
        <w:rPr>
          <w:rFonts w:ascii="Times New Roman" w:cs="Times New Roman" w:eastAsia="Times New Roman" w:hAnsi="Times New Roman"/>
          <w:b/>
          <w:bCs/>
          <w:sz w:val="24"/>
          <w:szCs w:val="24"/>
        </w:rPr>
        <w:t xml:space="preserve">(b) The three limbs.</w:t>
      </w:r>
      <w:r>
        <w:rPr>
          <w:rFonts w:ascii="Times New Roman" w:cs="Times New Roman" w:eastAsia="Times New Roman" w:hAnsi="Times New Roman"/>
          <w:sz w:val="24"/>
          <w:szCs w:val="24"/>
        </w:rPr>
        <w:t xml:space="preserve"> Each limb imports a mental element directed at evasion, must be specifically alleged, and must be supported on material. Here, the supplies were recorded in the Appellant’s returns and supported by invoices, transport documents and payment records; there is no concealment, no false statement, and no withholding of information. None of the three limbs is made out, and the Impugned Order records no finding on any of them.</w:t>
      </w:r>
    </w:p>
    <w:p>
      <w:pPr>
        <w:spacing w:after="160" w:line="276"/>
        <w:jc w:val="both"/>
      </w:pPr>
      <w:r>
        <w:rPr>
          <w:rFonts w:ascii="Times New Roman" w:cs="Times New Roman" w:eastAsia="Times New Roman" w:hAnsi="Times New Roman"/>
          <w:b/>
          <w:bCs/>
          <w:sz w:val="24"/>
          <w:szCs w:val="24"/>
        </w:rPr>
        <w:t xml:space="preserve">(c) Consequence and relief.</w:t>
      </w:r>
      <w:r>
        <w:rPr>
          <w:rFonts w:ascii="Times New Roman" w:cs="Times New Roman" w:eastAsia="Times New Roman" w:hAnsi="Times New Roman"/>
          <w:sz w:val="24"/>
          <w:szCs w:val="24"/>
        </w:rPr>
        <w:t xml:space="preserve"> The absence of the jurisdictional fact goes to the root of the power; the notice and order under Section 74 cannot stand. Hold that Section 74 was wrongly invoked and quash the demand; at the highest the matter could fall under Section 73, which is denied.</w:t>
      </w:r>
    </w:p>
    <w:p>
      <w:pPr>
        <w:pStyle w:val="Heading2"/>
        <w:spacing w:after="140" w:before="200"/>
      </w:pPr>
      <w:r>
        <w:rPr>
          <w:rFonts w:ascii="Times New Roman" w:cs="Times New Roman" w:eastAsia="Times New Roman" w:hAnsi="Times New Roman"/>
          <w:b/>
          <w:bCs/>
          <w:sz w:val="24"/>
          <w:szCs w:val="24"/>
        </w:rPr>
        <w:t xml:space="preserve">Ground 3: The allegation of ‘no movement of goods’ is unsupported; the documentary trail establishes genuine supply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allegation that supplies were made without actual movement of goods is a bare assertion unsupported by any independent finding. The Appellant holds tax invoices, transport documents / e-way bills, and evidence of payment through banking channels, which together establish the genuineness of the supplies and satisfaction of the conditions of Section 16(2). A conclusion of ‘no movement’ reached without examining this material, and without confronting the Appellant with any contrary evidence, cannot be sustained.</w:t>
      </w:r>
    </w:p>
    <w:p>
      <w:pPr>
        <w:pStyle w:val="Heading2"/>
        <w:spacing w:after="140" w:before="200"/>
      </w:pPr>
      <w:r>
        <w:rPr>
          <w:rFonts w:ascii="Times New Roman" w:cs="Times New Roman" w:eastAsia="Times New Roman" w:hAnsi="Times New Roman"/>
          <w:b/>
          <w:bCs/>
          <w:sz w:val="24"/>
          <w:szCs w:val="24"/>
        </w:rPr>
        <w:t xml:space="preserve">Ground 4: Cancellation of registration is a drastic measure; the conditions for revocation are satisfied — Section 30 read with Rule 23</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cancellation, founded on the same unsustainable allegation, falls with the demand. In any event, cancellation of registration carries serious civil consequences and is a drastic measure: it deprives a taxable person of the ability to carry on business in a regime where registration is the gateway to trade, and must rest on objective satisfaction of jurisdictional facts and a reasoned order. Reliance is placed on the consistent line of recent High Court authority to that effect [VERIFY for current jurisdictional authority]. Revocation is governed by Section 30 read with Rule 23; the Appellant, having addressed the cause of cancellation and being in compliance, satisfies the conditions for revocation, and the registration is liable to be restored.</w:t>
      </w:r>
    </w:p>
    <w:p>
      <w:pPr>
        <w:spacing w:after="120" w:before="120"/>
        <w:jc w:val="both"/>
      </w:pPr>
      <w:r>
        <w:rPr>
          <w:rFonts w:ascii="Times New Roman" w:cs="Times New Roman" w:eastAsia="Times New Roman" w:hAnsi="Times New Roman"/>
          <w:b/>
          <w:bCs/>
          <w:i/>
          <w:iCs/>
          <w:sz w:val="20"/>
          <w:szCs w:val="20"/>
        </w:rPr>
        <w:t xml:space="preserve">Note (for review): </w:t>
      </w:r>
      <w:r>
        <w:rPr>
          <w:rFonts w:ascii="Times New Roman" w:cs="Times New Roman" w:eastAsia="Times New Roman" w:hAnsi="Times New Roman"/>
          <w:i/>
          <w:iCs/>
          <w:sz w:val="20"/>
          <w:szCs w:val="20"/>
        </w:rPr>
        <w:t xml:space="preserve">Recent High Court orders restoring registration and deprecating mechanical/non-speaking cancellation are available but several are very recent single-court orders; counsel should select the binding authority of the jurisdictional High Court and confirm it has not been stayed before filing. [VERIFY]</w:t>
      </w:r>
    </w:p>
    <w:p>
      <w:pPr>
        <w:pStyle w:val="Heading2"/>
        <w:spacing w:after="140" w:before="200"/>
      </w:pPr>
      <w:r>
        <w:rPr>
          <w:rFonts w:ascii="Times New Roman" w:cs="Times New Roman" w:eastAsia="Times New Roman" w:hAnsi="Times New Roman"/>
          <w:b/>
          <w:bCs/>
          <w:sz w:val="24"/>
          <w:szCs w:val="24"/>
        </w:rPr>
        <w:t xml:space="preserve">Ground 5 (without prejudice): Interest and penalty are consequential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interest under Section 50 and the penalty are consequential upon the substantive demand. Once the demand fails, they fall with it. No independent basis for either is disclosed.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view of the foregoing, the Appellant most respectfully prays that the Learned Appellate Authority be pleased to:</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SET ASIDE the Impugned Order in Form GST DRC-07 / Order-in-Original, Reference No. [____] dated [____], and the demand confirmed thereby;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RESTORE the registration of the Appellant, the cancellation being unsustainable and, in any event, the conditions for revocation under Section 30 read with Rule 23 being satisfied;</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Impugned Order is a non-speaking order passed in breach of natural justice and Section 75(6);</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Section 74 was wrongly invoked, no fraud, wilful misstatement or suppression being present;</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allegation of supply without movement of goods is unsupported and that the supplies are genuine;</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DELETE the interest and penalty as consequential and unsustainable;</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the Appellant a personal hearing through its Authorised Representative; and</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orders as may be just, equitable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Appellant reserves the right to file additional submissions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spacing w:after="160" w:line="276"/>
        <w:jc w:val="both"/>
      </w:pPr>
      <w:r>
        <w:rPr>
          <w:rFonts w:ascii="Times New Roman" w:cs="Times New Roman" w:eastAsia="Times New Roman" w:hAnsi="Times New Roman"/>
          <w:b w:val="false"/>
          <w:bCs w:val="false"/>
          <w:i/>
          <w:iCs/>
          <w:caps w:val="false"/>
          <w:sz w:val="24"/>
          <w:szCs w:val="24"/>
        </w:rPr>
        <w:t xml:space="preserve">Case authorities are marked [VERIFY] for a final reporter-check before filing.</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 29, 30, 50, 73, 74, 75(6), 107 of the CGST Act, 2017; Rule 23 of the CGST Rules, 2017 (Forms GST REG-21 / REG-22 / REG-24).</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Authority that cancellation of registration is a drastic measure carrying serious civil consequences, requiring objective satisfaction and a reasoned order; and on restoration of registration on compliance — jurisdictional High Court authority to be inserted and reporter-verified. [VERIFY]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75(6) — duty to pass a speaking order; supporting authority to be added and reporter-verified.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appeal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Index of Annexures</w:t>
      </w:r>
    </w:p>
    <w:p>
      <w:pPr>
        <w:pStyle w:val="ListParagraph"/>
        <w:numPr>
          <w:ilvl w:val="0"/>
          <w:numId w:val="6"/>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Annexure-1 — Copy of the Impugned Order in Form GST DRC-07 / Order-in-Original.</w:t>
      </w:r>
    </w:p>
    <w:p>
      <w:pPr>
        <w:pStyle w:val="ListParagraph"/>
        <w:numPr>
          <w:ilvl w:val="0"/>
          <w:numId w:val="6"/>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Annexure-2 — Copy of the Show Cause Notice in Form GST DRC-01 under Section 74(1).</w:t>
      </w:r>
    </w:p>
    <w:p>
      <w:pPr>
        <w:pStyle w:val="ListParagraph"/>
        <w:numPr>
          <w:ilvl w:val="0"/>
          <w:numId w:val="6"/>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Annexure-3 — Copy of the Appellant’s reply to the Show Cause Notice.</w:t>
      </w:r>
    </w:p>
    <w:p>
      <w:pPr>
        <w:pStyle w:val="ListParagraph"/>
        <w:numPr>
          <w:ilvl w:val="0"/>
          <w:numId w:val="6"/>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Annexure-4 — Tax invoices, transport / e-way bill documents and proof of payment establishing the genuineness of the supplies.</w:t>
      </w:r>
    </w:p>
    <w:p>
      <w:pPr>
        <w:pStyle w:val="ListParagraph"/>
        <w:numPr>
          <w:ilvl w:val="0"/>
          <w:numId w:val="6"/>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Annexure-5 — Proof of pre-deposit under Section 107.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2026-06-13T08:28:08.543Z</dcterms:created>
  <dcterms:modified xsi:type="dcterms:W3CDTF">2026-06-13T08:28:08.543Z</dcterms:modified>
</cp:coreProperties>
</file>

<file path=docProps/custom.xml><?xml version="1.0" encoding="utf-8"?>
<Properties xmlns="http://schemas.openxmlformats.org/officeDocument/2006/custom-properties" xmlns:vt="http://schemas.openxmlformats.org/officeDocument/2006/docPropsVTypes"/>
</file>