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aps w:val="false"/>
          <w:sz w:val="24"/>
          <w:szCs w:val="24"/>
        </w:rPr>
        <w:t xml:space="default"/>
      </w:r>
    </w:p>
    <w:p>
      <w:pPr>
        <w:spacing w:after="80"/>
        <w:jc w:val="center"/>
      </w:pPr>
      <w:r>
        <w:rPr>
          <w:rFonts w:ascii="Times New Roman" w:cs="Times New Roman" w:eastAsia="Times New Roman" w:hAnsi="Times New Roman"/>
          <w:b/>
          <w:bCs/>
          <w:caps w:val="false"/>
          <w:sz w:val="24"/>
          <w:szCs w:val="24"/>
        </w:rPr>
        <w:t xml:space="default"/>
      </w:r>
    </w:p>
    <w:p>
      <w:pPr>
        <w:spacing w:after="80"/>
        <w:jc w:val="center"/>
      </w:pPr>
      <w:r>
        <w:rPr>
          <w:rFonts w:ascii="Times New Roman" w:cs="Times New Roman" w:eastAsia="Times New Roman" w:hAnsi="Times New Roman"/>
          <w:b/>
          <w:bCs/>
          <w:caps w:val="false"/>
          <w:sz w:val="24"/>
          <w:szCs w:val="24"/>
        </w:rPr>
        <w:t xml:space="defaul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authority is marked [VERIFY] for a final check before filing, save the verified citations. The facts (a Section 74 fake-invoice demand confirmed ex parte by an order in Form GST DRC-07, the appellant's DRC-06 reply having gone unconsidered) are reproduced from the source. The proprietorship verification in the source is replaced by the locked Director / Authorised Signatory; the signatory tension is carried forward for review.</w:t>
      </w:r>
    </w:p>
    <w:p>
      <w:pPr>
        <w:pStyle w:val="Heading1"/>
        <w:spacing w:after="160" w:before="260"/>
      </w:pPr>
      <w:r>
        <w:rPr>
          <w:rFonts w:ascii="Times New Roman" w:cs="Times New Roman" w:eastAsia="Times New Roman" w:hAnsi="Times New Roman"/>
          <w:b/>
          <w:bCs/>
          <w:caps/>
          <w:sz w:val="26"/>
          <w:szCs w:val="26"/>
        </w:rPr>
        <w:t xml:space="preserve">Cover — Particulars of the Appeal (Form GST APL-01)</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1. GSTIN: [____________]   2. Legal name of the appellant: M/s Noticedesk Technologies Private Limited   3. Address: [Registered Address].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4. Order appealed against: Order in Form GST DRC-07, Order No. [____] dated [____], FY 2020-21, passed under Section 74 by [the Adjudicating Authority].</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5. Date of communication of the order: [____].   6. Whether filed within time: Yes — within three months of communication (Section 107(1)).</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7. Category: confirmation of demand of tax, interest and penalty under Section 74, passed ex parte.</w:t>
      </w:r>
    </w:p>
    <w:p>
      <w:pPr>
        <w:pStyle w:val="Heading2"/>
        <w:spacing w:after="140" w:before="200"/>
      </w:pPr>
      <w:r>
        <w:rPr>
          <w:rFonts w:ascii="Times New Roman" w:cs="Times New Roman" w:eastAsia="Times New Roman" w:hAnsi="Times New Roman"/>
          <w:b/>
          <w:bCs/>
          <w:sz w:val="24"/>
          <w:szCs w:val="24"/>
        </w:rPr>
        <w:t xml:space="preserve">14. Amount of demand created, admitted and disputed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rPr>
          <w:tblHeader/>
        </w:trPr>
        <w:tc>
          <w:tcPr>
            <w:tcW w:type="dxa" w:w="1500"/>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after="0" w:line="252"/>
            </w:pPr>
            <w:r>
              <w:rPr>
                <w:rFonts w:ascii="Times New Roman" w:cs="Times New Roman" w:eastAsia="Times New Roman" w:hAnsi="Times New Roman"/>
                <w:b/>
                <w:bCs/>
                <w:sz w:val="21"/>
                <w:szCs w:val="21"/>
              </w:rPr>
              <w:t xml:space="preserve">Date</w:t>
            </w:r>
          </w:p>
        </w:tc>
        <w:tc>
          <w:tcPr>
            <w:tcW w:type="dxa" w:w="3200"/>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after="0" w:line="252"/>
            </w:pPr>
            <w:r>
              <w:rPr>
                <w:rFonts w:ascii="Times New Roman" w:cs="Times New Roman" w:eastAsia="Times New Roman" w:hAnsi="Times New Roman"/>
                <w:b/>
                <w:bCs/>
                <w:sz w:val="21"/>
                <w:szCs w:val="21"/>
              </w:rPr>
              <w:t xml:space="preserve">Event / Stage</w:t>
            </w:r>
          </w:p>
        </w:tc>
        <w:tc>
          <w:tcPr>
            <w:tcW w:type="dxa" w:w="4326"/>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after="0" w:line="252"/>
            </w:pPr>
            <w:r>
              <w:rPr>
                <w:rFonts w:ascii="Times New Roman" w:cs="Times New Roman" w:eastAsia="Times New Roman" w:hAnsi="Times New Roman"/>
                <w:b/>
                <w:bCs/>
                <w:sz w:val="21"/>
                <w:szCs w:val="21"/>
              </w:rPr>
              <w:t xml:space="preserve">Document / Reference</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Particulars</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Created (Rs.)</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Admitted (Rs.)</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Tax</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[____]</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Nil</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Interest</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31,918</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Nil</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Penalty (Section 74)</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[____]</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Nil</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Total</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[____]</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Nil</w:t>
            </w:r>
          </w:p>
        </w:tc>
      </w:tr>
    </w:tbl>
    <w:p>
      <w:pPr>
        <w:pStyle w:val="Heading2"/>
        <w:spacing w:after="140" w:before="200"/>
      </w:pPr>
      <w:r>
        <w:rPr>
          <w:rFonts w:ascii="Times New Roman" w:cs="Times New Roman" w:eastAsia="Times New Roman" w:hAnsi="Times New Roman"/>
          <w:b/>
          <w:bCs/>
          <w:sz w:val="24"/>
          <w:szCs w:val="24"/>
        </w:rPr>
        <w:t xml:space="preserve">15. Details of payment of admitted amount and pre-deposit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(a) Admitted amount: Nil.   (b) Pre-deposit under Section 107(6): 10% of the disputed tax of Rs. [____], i.e. Rs. [____], paid through Form GST DRC-03 / debit from the electronic cash / credit ledger as permitted [ARN ____ dated ____].   (c) Interest, penalty and any other amount: not payable at this stage, the pre-deposit of 10% of the tax in dispute being the statutory condition.</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
      </w:r>
    </w:p>
    <w:p>
      <w:pPr>
        <w:spacing w:after="80"/>
        <w:jc w:val="center"/>
      </w:pPr>
      <w:r>
        <w:rPr>
          <w:rFonts w:ascii="Times New Roman" w:cs="Times New Roman" w:eastAsia="Times New Roman" w:hAnsi="Times New Roman"/>
          <w:b/>
          <w:bCs/>
          <w:caps w:val="false"/>
          <w:sz w:val="24"/>
          <w:szCs w:val="24"/>
        </w:rPr>
        <w:t xml:space="defaul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appellant. </w:t>
      </w:r>
      <w:r>
        <w:rPr>
          <w:rFonts w:ascii="Times New Roman" w:cs="Times New Roman" w:eastAsia="Times New Roman" w:hAnsi="Times New Roman"/>
          <w:b w:val="false"/>
          <w:bCs w:val="false"/>
          <w:i w:val="false"/>
          <w:iCs w:val="false"/>
          <w:caps w:val="false"/>
          <w:sz w:val="24"/>
          <w:szCs w:val="24"/>
        </w:rPr>
        <w:t xml:space="preserve">M/s Noticedesk Technologies Private Limited (‘the Appellant’), GSTIN [____________], engaged in [business], files this appeal against the Order-in-Original in Form GST DRC-07, Order No. [____] dated [____] (Annexure 1).</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SCN. </w:t>
      </w:r>
      <w:r>
        <w:rPr>
          <w:rFonts w:ascii="Times New Roman" w:cs="Times New Roman" w:eastAsia="Times New Roman" w:hAnsi="Times New Roman"/>
          <w:b w:val="false"/>
          <w:bCs w:val="false"/>
          <w:i w:val="false"/>
          <w:iCs w:val="false"/>
          <w:caps w:val="false"/>
          <w:sz w:val="24"/>
          <w:szCs w:val="24"/>
        </w:rPr>
        <w:t xml:space="preserve">A Show Cause Notice under Section 74 dated [____] alleged [the fake-invoice / ineligible-ITC allegation, ‘ABC’] and proposed demand of tax of Rs. [____], interest of Rs. 31,918 and penalty (Annexure 2).</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reply that went unconsidered. </w:t>
      </w:r>
      <w:r>
        <w:rPr>
          <w:rFonts w:ascii="Times New Roman" w:cs="Times New Roman" w:eastAsia="Times New Roman" w:hAnsi="Times New Roman"/>
          <w:b w:val="false"/>
          <w:bCs w:val="false"/>
          <w:i w:val="false"/>
          <w:iCs w:val="false"/>
          <w:caps w:val="false"/>
          <w:sz w:val="24"/>
          <w:szCs w:val="24"/>
        </w:rPr>
        <w:t xml:space="preserve">The Appellant filed a detailed reply in Form GST DRC-06 on [____], uploaded on the common portal, with documents (Annexure 3). The Appellant also sought a personal hearing.</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ex parte order. </w:t>
      </w:r>
      <w:r>
        <w:rPr>
          <w:rFonts w:ascii="Times New Roman" w:cs="Times New Roman" w:eastAsia="Times New Roman" w:hAnsi="Times New Roman"/>
          <w:b w:val="false"/>
          <w:bCs w:val="false"/>
          <w:i w:val="false"/>
          <w:iCs w:val="false"/>
          <w:caps w:val="false"/>
          <w:sz w:val="24"/>
          <w:szCs w:val="24"/>
        </w:rPr>
        <w:t xml:space="preserve">Without considering the Appellant's reply and without affording the personal hearing mandated by Section 75(4), the Adjudicating Authority confirmed the demand by the impugned order — which neither refers to the reply nor records any finding upon it.</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
      </w:r>
    </w:p>
    <w:p>
      <w:pPr>
        <w:spacing w:after="80"/>
        <w:jc w:val="center"/>
      </w:pPr>
      <w:r>
        <w:rPr>
          <w:rFonts w:ascii="Times New Roman" w:cs="Times New Roman" w:eastAsia="Times New Roman" w:hAnsi="Times New Roman"/>
          <w:b/>
          <w:bCs/>
          <w:caps w:val="false"/>
          <w:sz w:val="24"/>
          <w:szCs w:val="24"/>
        </w:rPr>
        <w:t xml:space="defaul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Each ground is urged independently and without prejudice to the others.</w:t>
      </w:r>
    </w:p>
    <w:p>
      <w:pPr>
        <w:pStyle w:val="Heading2"/>
        <w:spacing w:after="140" w:before="200"/>
      </w:pPr>
      <w:r>
        <w:rPr>
          <w:rFonts w:ascii="Times New Roman" w:cs="Times New Roman" w:eastAsia="Times New Roman" w:hAnsi="Times New Roman"/>
          <w:b/>
          <w:bCs/>
          <w:sz w:val="24"/>
          <w:szCs w:val="24"/>
        </w:rPr>
        <w:t xml:space="preserve">Ground A: The order is ex parte and in breach of natural justice and Section 75(4)</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Appellant filed a detailed DRC-06 reply and sought a hearing. Section 75(4) makes an opportunity of hearing mandatory where an adverse decision is contemplated. The impugned order was passed without considering the reply and without any hearing; it does not so much as advert to the reply. An order passed in such breach of natural justice is a nullity, and the breach is not curable in appeal — the matter must, at the least, return for fresh adjudication after a real hearing. Reliance is placed on </w:t>
      </w:r>
      <w:r>
        <w:rPr>
          <w:rFonts w:ascii="Times New Roman" w:cs="Times New Roman" w:eastAsia="Times New Roman" w:hAnsi="Times New Roman"/>
          <w:b w:val="false"/>
          <w:bCs w:val="false"/>
          <w:i/>
          <w:iCs/>
          <w:caps w:val="false"/>
          <w:sz w:val="24"/>
          <w:szCs w:val="24"/>
        </w:rPr>
        <w:t xml:space="preserve">Kranti Associates Pvt. Ltd. v. Masood Ahmed Khan</w:t>
      </w:r>
      <w:r>
        <w:rPr>
          <w:rFonts w:ascii="Times New Roman" w:cs="Times New Roman" w:eastAsia="Times New Roman" w:hAnsi="Times New Roman"/>
          <w:b w:val="false"/>
          <w:bCs w:val="false"/>
          <w:i w:val="false"/>
          <w:iCs w:val="false"/>
          <w:caps w:val="false"/>
          <w:sz w:val="24"/>
          <w:szCs w:val="24"/>
        </w:rPr>
        <w:t xml:space="preserve">, (2010) 9 SCC 496 (duty to record reasons dealing with the party's case).</w:t>
      </w:r>
    </w:p>
    <w:p>
      <w:pPr>
        <w:pStyle w:val="Heading2"/>
        <w:spacing w:after="140" w:before="200"/>
      </w:pPr>
      <w:r>
        <w:rPr>
          <w:rFonts w:ascii="Times New Roman" w:cs="Times New Roman" w:eastAsia="Times New Roman" w:hAnsi="Times New Roman"/>
          <w:b/>
          <w:bCs/>
          <w:sz w:val="24"/>
          <w:szCs w:val="24"/>
        </w:rPr>
        <w:t xml:space="preserve">Ground B: A demand under Section 74 requires fraud, wilful misstatement or suppression — none is established</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74 is invocable only on fraud, wilful misstatement or suppression of facts to evade tax, which must be specifically alleged and proved; the extended period and the enhanced penalty depend on it. The impugned order records no such finding on the material, having ignored the reply. A Section 74 demand cannot be sustained on assertion; the ingredient is jurisdictional.</w:t>
      </w:r>
    </w:p>
    <w:p>
      <w:pPr>
        <w:pStyle w:val="Heading2"/>
        <w:spacing w:after="140" w:before="200"/>
      </w:pPr>
      <w:r>
        <w:rPr>
          <w:rFonts w:ascii="Times New Roman" w:cs="Times New Roman" w:eastAsia="Times New Roman" w:hAnsi="Times New Roman"/>
          <w:b/>
          <w:bCs/>
          <w:sz w:val="24"/>
          <w:szCs w:val="24"/>
        </w:rPr>
        <w:t xml:space="preserve">Ground C: The Appellant is a bona fide recipient — credit cannot be denied for a supplier's default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Appellant holds valid tax invoices, received the goods, and paid the suppliers including tax through banking channels; its burden under Section 155 stands discharged. Credit cannot be denied to such a bona fide recipient for the supplier's default, recovery lying first against the supplier: </w:t>
      </w:r>
      <w:r>
        <w:rPr>
          <w:rFonts w:ascii="Times New Roman" w:cs="Times New Roman" w:eastAsia="Times New Roman" w:hAnsi="Times New Roman"/>
          <w:b w:val="false"/>
          <w:bCs w:val="false"/>
          <w:i/>
          <w:iCs/>
          <w:caps w:val="false"/>
          <w:sz w:val="24"/>
          <w:szCs w:val="24"/>
        </w:rPr>
        <w:t xml:space="preserve">Suncraft Energy Pvt. Ltd. v. Assistant Commissioner, State Tax</w:t>
      </w:r>
      <w:r>
        <w:rPr>
          <w:rFonts w:ascii="Times New Roman" w:cs="Times New Roman" w:eastAsia="Times New Roman" w:hAnsi="Times New Roman"/>
          <w:b w:val="false"/>
          <w:bCs w:val="false"/>
          <w:i w:val="false"/>
          <w:iCs w:val="false"/>
          <w:caps w:val="false"/>
          <w:sz w:val="24"/>
          <w:szCs w:val="24"/>
        </w:rPr>
        <w:t xml:space="preserve">, Calcutta HC, MAT 1218 of 2023, 02.08.2023 (SLP(C) 27827-27828/2023 dismissed 14.12.2023, expressly on the low tax effect, not on merits); </w:t>
      </w:r>
      <w:r>
        <w:rPr>
          <w:rFonts w:ascii="Times New Roman" w:cs="Times New Roman" w:eastAsia="Times New Roman" w:hAnsi="Times New Roman"/>
          <w:b w:val="false"/>
          <w:bCs w:val="false"/>
          <w:i/>
          <w:iCs/>
          <w:caps w:val="false"/>
          <w:sz w:val="24"/>
          <w:szCs w:val="24"/>
        </w:rPr>
        <w:t xml:space="preserve">D.Y. Beathel Enterprises v. State Tax Officer</w:t>
      </w:r>
      <w:r>
        <w:rPr>
          <w:rFonts w:ascii="Times New Roman" w:cs="Times New Roman" w:eastAsia="Times New Roman" w:hAnsi="Times New Roman"/>
          <w:b w:val="false"/>
          <w:bCs w:val="false"/>
          <w:i w:val="false"/>
          <w:iCs w:val="false"/>
          <w:caps w:val="false"/>
          <w:sz w:val="24"/>
          <w:szCs w:val="24"/>
        </w:rPr>
        <w:t xml:space="preserve">, Madras HC, W.P.(MD) Nos. 2127 of 2021, 24.02.2021; and </w:t>
      </w:r>
      <w:r>
        <w:rPr>
          <w:rFonts w:ascii="Times New Roman" w:cs="Times New Roman" w:eastAsia="Times New Roman" w:hAnsi="Times New Roman"/>
          <w:b w:val="false"/>
          <w:bCs w:val="false"/>
          <w:i/>
          <w:iCs/>
          <w:caps w:val="false"/>
          <w:sz w:val="24"/>
          <w:szCs w:val="24"/>
        </w:rPr>
        <w:t xml:space="preserve">Diya Agencies v. State Tax Officer</w:t>
      </w:r>
      <w:r>
        <w:rPr>
          <w:rFonts w:ascii="Times New Roman" w:cs="Times New Roman" w:eastAsia="Times New Roman" w:hAnsi="Times New Roman"/>
          <w:b w:val="false"/>
          <w:bCs w:val="false"/>
          <w:i w:val="false"/>
          <w:iCs w:val="false"/>
          <w:caps w:val="false"/>
          <w:sz w:val="24"/>
          <w:szCs w:val="24"/>
        </w:rPr>
        <w:t xml:space="preserve">, Kerala HC, WP(C) 29769/2023, 2023:KER:55318, 12.09.2023. The adverse line — </w:t>
      </w:r>
      <w:r>
        <w:rPr>
          <w:rFonts w:ascii="Times New Roman" w:cs="Times New Roman" w:eastAsia="Times New Roman" w:hAnsi="Times New Roman"/>
          <w:b w:val="false"/>
          <w:bCs w:val="false"/>
          <w:i/>
          <w:iCs/>
          <w:caps w:val="false"/>
          <w:sz w:val="24"/>
          <w:szCs w:val="24"/>
        </w:rPr>
        <w:t xml:space="preserve">State of Karnataka v. Ecom Gill Coffee Trading Pvt. Ltd.</w:t>
      </w:r>
      <w:r>
        <w:rPr>
          <w:rFonts w:ascii="Times New Roman" w:cs="Times New Roman" w:eastAsia="Times New Roman" w:hAnsi="Times New Roman"/>
          <w:b w:val="false"/>
          <w:bCs w:val="false"/>
          <w:i w:val="false"/>
          <w:iCs w:val="false"/>
          <w:caps w:val="false"/>
          <w:sz w:val="24"/>
          <w:szCs w:val="24"/>
        </w:rPr>
        <w:t xml:space="preserve">, SC, CA 230/2023, 13.03.2023 (under the KVAT Act), and </w:t>
      </w:r>
      <w:r>
        <w:rPr>
          <w:rFonts w:ascii="Times New Roman" w:cs="Times New Roman" w:eastAsia="Times New Roman" w:hAnsi="Times New Roman"/>
          <w:b w:val="false"/>
          <w:bCs w:val="false"/>
          <w:i/>
          <w:iCs/>
          <w:caps w:val="false"/>
          <w:sz w:val="24"/>
          <w:szCs w:val="24"/>
        </w:rPr>
        <w:t xml:space="preserve">Aastha Enterprises v. State of Bihar</w:t>
      </w:r>
      <w:r>
        <w:rPr>
          <w:rFonts w:ascii="Times New Roman" w:cs="Times New Roman" w:eastAsia="Times New Roman" w:hAnsi="Times New Roman"/>
          <w:b w:val="false"/>
          <w:bCs w:val="false"/>
          <w:i w:val="false"/>
          <w:iCs w:val="false"/>
          <w:caps w:val="false"/>
          <w:sz w:val="24"/>
          <w:szCs w:val="24"/>
        </w:rPr>
        <w:t xml:space="preserve">, Patna HC, CWJC 10395/2023, 18.08.2023 — turns on the recipient failing to prove genuineness, which the Appellant's documentary trail affirmatively establishes.</w:t>
      </w:r>
    </w:p>
    <w:p>
      <w:pPr>
        <w:pStyle w:val="Heading2"/>
        <w:spacing w:after="140" w:before="200"/>
      </w:pPr>
      <w:r>
        <w:rPr>
          <w:rFonts w:ascii="Times New Roman" w:cs="Times New Roman" w:eastAsia="Times New Roman" w:hAnsi="Times New Roman"/>
          <w:b/>
          <w:bCs/>
          <w:sz w:val="24"/>
          <w:szCs w:val="24"/>
        </w:rPr>
        <w:t xml:space="preserve">Ground D: If statements or third-party material were relied upon, the denial of cross-examination vitiates the order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To the extent the demand rests on any third party's statement or on the supplier's record, the Appellant was entitled to those documents and to cross-examine the deponents; the denial of that opportunity is a serious flaw that vitiates the order: </w:t>
      </w:r>
      <w:r>
        <w:rPr>
          <w:rFonts w:ascii="Times New Roman" w:cs="Times New Roman" w:eastAsia="Times New Roman" w:hAnsi="Times New Roman"/>
          <w:b w:val="false"/>
          <w:bCs w:val="false"/>
          <w:i/>
          <w:iCs/>
          <w:caps w:val="false"/>
          <w:sz w:val="24"/>
          <w:szCs w:val="24"/>
        </w:rPr>
        <w:t xml:space="preserve">Andaman Timber Industries v. CCE</w:t>
      </w:r>
      <w:r>
        <w:rPr>
          <w:rFonts w:ascii="Times New Roman" w:cs="Times New Roman" w:eastAsia="Times New Roman" w:hAnsi="Times New Roman"/>
          <w:b w:val="false"/>
          <w:bCs w:val="false"/>
          <w:i w:val="false"/>
          <w:iCs w:val="false"/>
          <w:caps w:val="false"/>
          <w:sz w:val="24"/>
          <w:szCs w:val="24"/>
        </w:rPr>
        <w:t xml:space="preserve">, 2015 (324) ELT 641 (SC) / (2016) 15 SCC 785.</w:t>
      </w:r>
    </w:p>
    <w:p>
      <w:pPr>
        <w:pStyle w:val="Heading2"/>
        <w:spacing w:after="140" w:before="200"/>
      </w:pPr>
      <w:r>
        <w:rPr>
          <w:rFonts w:ascii="Times New Roman" w:cs="Times New Roman" w:eastAsia="Times New Roman" w:hAnsi="Times New Roman"/>
          <w:b/>
          <w:bCs/>
          <w:sz w:val="24"/>
          <w:szCs w:val="24"/>
        </w:rPr>
        <w:t xml:space="preserve">Ground E (without prejudice): Quantum, interest and penalty</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Without prejudice, the demand is excessive and unsupported; interest can attach only to the net liability actually due and, on unutilised credit, not at all (Section 50(3) read with Rule 88B); and the Section 74 penalty cannot stand once the foundation of fraud falls away.</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Appellant most respectfully prays that the Appellate Authority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SET ASIDE the Order-in-Original in Form GST DRC-07, Order No. [____] dated [____], as passed ex parte and in breach of Section 75(4);</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Section 74 is not made out and that the Appellant, a bona fide recipient, cannot be denied credit for a supplier's default;</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In the alternative, REMAND the matter for fresh adjudication after a real opportunity of hearing and supply of all relied-upon documents with cross-examination;</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DELETE the interest and penalty;</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personal hearing through the Authorised Representative;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Schedule of 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16(2), 50, 74, 75(4), 107, 155 of the CGST Act, 2017; Rules 88B, 108 and 142 of the CGST Rules, 2017 (Forms GST DRC-01, DRC-06, DRC-07, APL-01).</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Kranti Associates Pvt. Ltd. v. Masood Ahmed Khan, (2010) 9 SCC 496; Andaman Timber Industries v. CCE, 2015 (324) ELT 641 (SC) / (2016) 15 SCC 785.</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Suncraft Energy Pvt. Ltd. (Cal HC, MAT 1218/2023, 02.08.2023; SLP(C) 27827-27828/2023 dismissed 14.12.2023 on low tax effect); D.Y. Beathel Enterprises (Mad HC, W.P.(MD) 2127/2021, 24.02.2021); Diya Agencies (Ker HC, 2023:KER:55318); distinguished: Ecom Gill (SC, CA 230/2023, KVAT); Aastha Enterprises (Patna HC, CWJC 10395/2023, 18.08.2023).</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
      </w:r>
    </w:p>
    <w:p>
      <w:pPr>
        <w:spacing w:after="80"/>
        <w:jc w:val="center"/>
      </w:pPr>
      <w:r>
        <w:rPr>
          <w:rFonts w:ascii="Times New Roman" w:cs="Times New Roman" w:eastAsia="Times New Roman" w:hAnsi="Times New Roman"/>
          <w:b/>
          <w:bCs/>
          <w:caps w:val="false"/>
          <w:sz w:val="24"/>
          <w:szCs w:val="24"/>
        </w:rPr>
        <w:t xml:space="defaul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 [Name], [Director / Authorised Signatory] of M/s Noticedesk Technologies Private Limited, do hereby solemnly affirm and declare that the information given hereinabove is true and correct to the best of my knowledge and belief and nothing material has been concealed therefrom.</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[Signature]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[Name], [Director / Authorised Signatory], for M/s Noticedesk Technologies Private Limited</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Copy of the Order-in-Original in Form GST DRC-07.</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Copy of the Show Cause Notice under Section 74.</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3 — The Appellant's DRC-06 reply with documents and the hearing request; proof of the 10% pre-deposit.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2026-06-13T08:26:25.286Z</dcterms:created>
  <dcterms:modified xsi:type="dcterms:W3CDTF">2026-06-13T08:26:25.286Z</dcterms:modified>
</cp:coreProperties>
</file>

<file path=docProps/custom.xml><?xml version="1.0" encoding="utf-8"?>
<Properties xmlns="http://schemas.openxmlformats.org/officeDocument/2006/custom-properties" xmlns:vt="http://schemas.openxmlformats.org/officeDocument/2006/docPropsVTypes"/>
</file>