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Adjudicating Authority</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 representation regarding the inadvertent reporting of a wrong recipient GSTIN in Form GSTR-1 for FY 2018-19, the portal not permitting amendment after the statutory time limit, and request for consequential relief — Letter No. [____]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FY 2018-19 GSTR-1 filed on [____]; Letter No. [____] dated [____].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Authorities are marked [VERIFY] for a final check before filing. The FY (2018-19), the nature of the error (wrong recipient GSTIN in a B2B supply) and the portal’s rejection of the amendment as time-barred are reproduced from the source.</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In its Form GSTR-1 for FY 2018-19, the Company inadvertently reported a wrong recipient GSTIN in a business-to-business supply. The error came to light only when the recipient pointed it out, by which time the portal did not permit amendment, the statutory window under Section 37(3) read with Section 16(4) having closed. The error is a bona fide clerical one, revenue-neutral at the Company’s end, and the Company seeks to have the correct position recognised so that the genuine recipient is not denied its credit and the Company is not visited with any adverse consequence. The denial of a means to correct a genuine, inadvertent error ought not to defeat substantive rights.</w:t>
      </w:r>
    </w:p>
    <w:p>
      <w:pPr>
        <w:pStyle w:val="Heading1"/>
        <w:spacing w:after="160" w:before="260"/>
      </w:pPr>
      <w:r>
        <w:rPr>
          <w:rFonts w:ascii="Times New Roman" w:cs="Times New Roman" w:eastAsia="Times New Roman" w:hAnsi="Times New Roman"/>
          <w:b/>
          <w:bCs/>
          <w:caps/>
          <w:sz w:val="26"/>
          <w:szCs w:val="26"/>
        </w:rPr>
        <w:t xml:space="preserve">Factual Background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filed its GSTR-1 for FY 2018-19 on [____].</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error. </w:t>
      </w:r>
      <w:r>
        <w:rPr>
          <w:rFonts w:ascii="Times New Roman" w:cs="Times New Roman" w:eastAsia="Times New Roman" w:hAnsi="Times New Roman"/>
          <w:b w:val="false"/>
          <w:bCs w:val="false"/>
          <w:i w:val="false"/>
          <w:iCs w:val="false"/>
          <w:caps w:val="false"/>
          <w:sz w:val="24"/>
          <w:szCs w:val="24"/>
        </w:rPr>
        <w:t xml:space="preserve">In a B2B supply, the recipient’s GSTIN was reported incorrectly. The Company became aware of the error in November 2019 when the recipient raised it, and attempted to amend the GSTR-1; the portal did not permit the amendment as the time limit had passed.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Revenue-neutral. </w:t>
      </w:r>
      <w:r>
        <w:rPr>
          <w:rFonts w:ascii="Times New Roman" w:cs="Times New Roman" w:eastAsia="Times New Roman" w:hAnsi="Times New Roman"/>
          <w:b w:val="false"/>
          <w:bCs w:val="false"/>
          <w:i w:val="false"/>
          <w:iCs w:val="false"/>
          <w:caps w:val="false"/>
          <w:sz w:val="24"/>
          <w:szCs w:val="24"/>
        </w:rPr>
        <w:t xml:space="preserve">The supply, the invoice value and the tax were correctly reported; only the recipient’s GSTIN was mis-keyed. There is no short payment of tax by the Company.</w:t>
      </w:r>
    </w:p>
    <w:p>
      <w:pPr>
        <w:pStyle w:val="Heading1"/>
        <w:spacing w:after="160" w:before="260"/>
      </w:pPr>
      <w:r>
        <w:rPr>
          <w:rFonts w:ascii="Times New Roman" w:cs="Times New Roman" w:eastAsia="Times New Roman" w:hAnsi="Times New Roman"/>
          <w:b/>
          <w:bCs/>
          <w:caps/>
          <w:sz w:val="26"/>
          <w:szCs w:val="26"/>
        </w:rPr>
        <w:t xml:space="preserve">Submissions</w:t>
      </w:r>
    </w:p>
    <w:p>
      <w:pPr>
        <w:pStyle w:val="Heading2"/>
        <w:spacing w:after="140" w:before="200"/>
      </w:pPr>
      <w:r>
        <w:rPr>
          <w:rFonts w:ascii="Times New Roman" w:cs="Times New Roman" w:eastAsia="Times New Roman" w:hAnsi="Times New Roman"/>
          <w:b/>
          <w:bCs/>
          <w:sz w:val="24"/>
          <w:szCs w:val="24"/>
        </w:rPr>
        <w:t xml:space="preserve">Submission 1: The error is a bona fide clerical mistake; substance ought to prevail over an inadvertent slip</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Section 37(1) requires the furnishing of outward supply details in GSTR-1, and Section 37(3) permits rectification of errors, subject to the time limit aligned with Section 16(4). The Company’s error — a mis-keyed recipient GSTIN — is a bona fide clerical mistake, not a suppression or misstatement. Courts have consistently held that genuine, inadvertent errors in GST returns ought to be permitted to be corrected, the object being to reflect the correct position rather than to penalise a slip, particularly where the exercise is revenue-neutral.</w:t>
      </w:r>
    </w:p>
    <w:p>
      <w:pPr>
        <w:spacing w:after="160" w:line="276"/>
        <w:jc w:val="both"/>
      </w:pPr>
      <w:r>
        <w:rPr>
          <w:rFonts w:ascii="Times New Roman" w:cs="Times New Roman" w:eastAsia="Times New Roman" w:hAnsi="Times New Roman"/>
          <w:b/>
          <w:bCs/>
          <w:sz w:val="24"/>
          <w:szCs w:val="24"/>
        </w:rPr>
        <w:t xml:space="preserve">(Authority).</w:t>
      </w:r>
      <w:r>
        <w:rPr>
          <w:rFonts w:ascii="Times New Roman" w:cs="Times New Roman" w:eastAsia="Times New Roman" w:hAnsi="Times New Roman"/>
          <w:sz w:val="24"/>
          <w:szCs w:val="24"/>
        </w:rPr>
        <w:t xml:space="preserve"> Reliance is placed on the line of High Court authority permitting rectification of bona fide and inadvertent errors in GST returns where no loss to the revenue results, to be cited from the jurisdictional High Court and reporter-verified before filing. [VERIFY]</w:t>
      </w:r>
    </w:p>
    <w:p>
      <w:pPr>
        <w:pStyle w:val="Heading2"/>
        <w:spacing w:after="140" w:before="200"/>
      </w:pPr>
      <w:r>
        <w:rPr>
          <w:rFonts w:ascii="Times New Roman" w:cs="Times New Roman" w:eastAsia="Times New Roman" w:hAnsi="Times New Roman"/>
          <w:b/>
          <w:bCs/>
          <w:sz w:val="24"/>
          <w:szCs w:val="24"/>
        </w:rPr>
        <w:t xml:space="preserve">Submission 2: The genuine recipient should not be denied credit for the Company’s clerical slip</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consequence of the mis-keyed GSTIN is that the supply reflected against a wrong GSTIN, potentially denying the genuine recipient its credit while crediting a stranger. The Company requests that the record be corrected — by permitting amendment, or by accepting documentary proof of the true recipient — so that the genuine recipient’s entitlement under Section 16 is preserved and no third party derives an unintended benefit.</w:t>
      </w:r>
    </w:p>
    <w:p>
      <w:pPr>
        <w:pStyle w:val="Heading2"/>
        <w:spacing w:after="140" w:before="200"/>
      </w:pPr>
      <w:r>
        <w:rPr>
          <w:rFonts w:ascii="Times New Roman" w:cs="Times New Roman" w:eastAsia="Times New Roman" w:hAnsi="Times New Roman"/>
          <w:b/>
          <w:bCs/>
          <w:sz w:val="24"/>
          <w:szCs w:val="24"/>
        </w:rPr>
        <w:t xml:space="preserve">Submission 3: Relief sought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requests that it be permitted to amend or rectify the GSTR-1 for FY 2018-19 to reflect the correct recipient GSTIN, notwithstanding the lapse of the portal time limit; in the alternative, that the correct position be recorded on the strength of the documentary evidence (the tax invoice and the recipient’s confirmation); and that no adverse consequence follow from a bona fide clerical error.</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Authority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PERMIT amendment / rectification of the GSTR-1 for FY 2018-19 to reflect the correct recipient GSTIN, or accept the documentary proof of the true recipient;</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the error is a bona fide clerical mistake, revenue-neutral, attracting no adverse consequence;</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a hearing through the Authorised Representative;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further submissions and to be heard.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37(1), 37(3), 16(4) of the CGST Act, 2017; Rule 59 of the CGST Rules, 2017 (Form GSTR-1).</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High Court authority permitting rectification of bona fide / inadvertent, revenue-neutral errors in GST returns — to be cited from the jurisdictional High Court and reporter-verified. [VERIFY]</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2026-06-13T08:26:20.809Z</dcterms:created>
  <dcterms:modified xsi:type="dcterms:W3CDTF">2026-06-13T08:26:20.809Z</dcterms:modified>
</cp:coreProperties>
</file>

<file path=docProps/custom.xml><?xml version="1.0" encoding="utf-8"?>
<Properties xmlns="http://schemas.openxmlformats.org/officeDocument/2006/custom-properties" xmlns:vt="http://schemas.openxmlformats.org/officeDocument/2006/docPropsVTypes"/>
</file>