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Intimation of the Company’s intention to file an appeal under Section 107 against the assessment order, and request to stay recovery pending the statutory appeal period and the appeal — Order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 dated [____]; Assessment Order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statutory provisions are stated as the Company understands them. The facts (a Section 73 notice, an assessment order served, and the Company’s intention to appeal within three months)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has been served an assessment order arising from a Show Cause Notice under Section 73, and intends to file an appeal under Section 107, which it is entitled to do within three months of the communication of the order. The Company places on record its intention to appeal and requests that recovery of the demand be held in abeyance — both during the period available to file the appeal, and, once the appeal is filed with the prescribed pre-deposit, during its pendency, when recovery of the balance is stayed by operation of Section 107(7).</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order. </w:t>
      </w:r>
      <w:r>
        <w:rPr>
          <w:rFonts w:ascii="Times New Roman" w:cs="Times New Roman" w:eastAsia="Times New Roman" w:hAnsi="Times New Roman"/>
          <w:b w:val="false"/>
          <w:bCs w:val="false"/>
          <w:i w:val="false"/>
          <w:iCs w:val="false"/>
          <w:caps w:val="false"/>
          <w:sz w:val="24"/>
          <w:szCs w:val="24"/>
        </w:rPr>
        <w:t xml:space="preserve">A Show Cause Notice under Section 73 was issued on [____] (as to why ITC ought not to be disallowed), and an assessment order was passed and served on the Company on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Intention to appeal. </w:t>
      </w:r>
      <w:r>
        <w:rPr>
          <w:rFonts w:ascii="Times New Roman" w:cs="Times New Roman" w:eastAsia="Times New Roman" w:hAnsi="Times New Roman"/>
          <w:b w:val="false"/>
          <w:bCs w:val="false"/>
          <w:i w:val="false"/>
          <w:iCs w:val="false"/>
          <w:caps w:val="false"/>
          <w:sz w:val="24"/>
          <w:szCs w:val="24"/>
        </w:rPr>
        <w:t xml:space="preserve">The Company is aggrieved by the order and intends to file an appeal under Section 107(1) within the period of three months prescribed.</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Company has a statutory right to appeal within three months under Section 107(1)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107(1) provides:</w:t>
      </w:r>
    </w:p>
    <w:p>
      <w:pPr>
        <w:spacing w:after="140" w:line="264"/>
        <w:ind w:left="720" w:right="360"/>
        <w:jc w:val="both"/>
      </w:pPr>
      <w:r>
        <w:rPr>
          <w:rFonts w:ascii="Times New Roman" w:cs="Times New Roman" w:eastAsia="Times New Roman" w:hAnsi="Times New Roman"/>
          <w:i/>
          <w:iCs/>
          <w:sz w:val="22"/>
          <w:szCs w:val="22"/>
        </w:rPr>
        <w:t xml:space="preserve">(1) Any person aggrieved by any decision or order passed under this Act or the State Goods and Services Tax Act or the Union Territory Goods and Services Tax Act by an adjudicating authority may appeal to such Appellate Authority as may be prescribed within three months from the date on which the said decision or order is communicated to such person.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is within this period and intends to file its appeal in Form GST APL-01 with the pre-deposit prescribed by Section 107(6).</w:t>
      </w:r>
    </w:p>
    <w:p>
      <w:pPr>
        <w:pStyle w:val="Heading2"/>
        <w:spacing w:after="140" w:before="200"/>
      </w:pPr>
      <w:r>
        <w:rPr>
          <w:rFonts w:ascii="Times New Roman" w:cs="Times New Roman" w:eastAsia="Times New Roman" w:hAnsi="Times New Roman"/>
          <w:b/>
          <w:bCs/>
          <w:sz w:val="24"/>
          <w:szCs w:val="24"/>
        </w:rPr>
        <w:t xml:space="preserve">Submission 2: Recovery should be held in abeyance during the appeal period, and is stayed on filing the appeal under Section 107(7)</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It is a settled incident of the right of appeal that recovery should not be enforced so as to render the appeal infructuous before the time to file it has expired. The Company requests that recovery be held in abeyance during the three-month appeal period. Further, on filing the appeal with the pre-deposit of the admitted amount and 10% of the disputed tax, Section 107(7) provides that the recovery proceedings for the balance amount shall be deemed to be stayed. The Company undertakes to file the appeal and make the pre-deposit within the prescribed period and to place proof on record.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on record the Company’s intention to file an appeal under Section 107 within the prescribed period;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recovery of the demand in abeyance during the three-month period available to file the appeal;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on filing the appeal with the prescribed pre-deposit, recovery of the balance is stayed under Section 107(7);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78, 107(1), 107(6) and 107(7) of the CGST Act, 2017.</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2026-06-13T08:26:21.616Z</dcterms:created>
  <dcterms:modified xsi:type="dcterms:W3CDTF">2026-06-13T08:26:21.616Z</dcterms:modified>
</cp:coreProperties>
</file>

<file path=docProps/custom.xml><?xml version="1.0" encoding="utf-8"?>
<Properties xmlns="http://schemas.openxmlformats.org/officeDocument/2006/custom-properties" xmlns:vt="http://schemas.openxmlformats.org/officeDocument/2006/docPropsVTypes"/>
</file>