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line="276"/>
        <w:jc w:val="both"/>
      </w:pPr>
      <w:r>
        <w:rPr>
          <w:rFonts w:ascii="Times New Roman" w:cs="Times New Roman" w:eastAsia="Times New Roman" w:hAnsi="Times New Roman"/>
          <w:b w:val="false"/>
          <w:bCs w:val="false"/>
          <w:i w:val="false"/>
          <w:iCs w:val="false"/>
          <w:caps w:val="false"/>
          <w:sz w:val="24"/>
          <w:szCs w:val="24"/>
        </w:rPr>
        <w:t xml:space="preserve">To,</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The Learned Commissioner / Proper Officer</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[Designation, Ward / Circle / Jurisdiction]</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[Office Address]</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Through: </w:t>
      </w:r>
      <w:r>
        <w:rPr>
          <w:rFonts w:ascii="Times New Roman" w:cs="Times New Roman" w:eastAsia="Times New Roman" w:hAnsi="Times New Roman"/>
          <w:b w:val="false"/>
          <w:bCs w:val="false"/>
          <w:i w:val="false"/>
          <w:iCs w:val="false"/>
          <w:caps w:val="false"/>
          <w:sz w:val="24"/>
          <w:szCs w:val="24"/>
        </w:rPr>
        <w:t xml:space="preserve">the common portal and by e-mail / hand delivery</w:t>
      </w:r>
    </w:p>
    <w:p>
      <w:pPr>
        <w:spacing w:after="60" w:line="276"/>
        <w:jc w:val="both"/>
      </w:pPr>
      <w:r>
        <w:rPr>
          <w:rFonts w:ascii="Times New Roman" w:cs="Times New Roman" w:eastAsia="Times New Roman" w:hAnsi="Times New Roman"/>
          <w:b w:val="false"/>
          <w:bCs w:val="false"/>
          <w:i w:val="false"/>
          <w:iCs w:val="false"/>
          <w:caps w:val="false"/>
          <w:sz w:val="24"/>
          <w:szCs w:val="24"/>
        </w:rPr>
        <w:t xml:space="preserve">In the matter of: </w:t>
      </w:r>
      <w:r>
        <w:rPr>
          <w:rFonts w:ascii="Times New Roman" w:cs="Times New Roman" w:eastAsia="Times New Roman" w:hAnsi="Times New Roman"/>
          <w:b/>
          <w:bCs/>
          <w:i w:val="false"/>
          <w:iCs w:val="false"/>
          <w:caps w:val="false"/>
          <w:sz w:val="24"/>
          <w:szCs w:val="24"/>
        </w:rPr>
        <w:t xml:space="preserve">M/s Noticedesk Technologies Private Limited</w:t>
      </w:r>
      <w:r>
        <w:rPr>
          <w:rFonts w:ascii="Times New Roman" w:cs="Times New Roman" w:eastAsia="Times New Roman" w:hAnsi="Times New Roman"/>
          <w:b w:val="false"/>
          <w:bCs w:val="false"/>
          <w:i w:val="false"/>
          <w:iCs w:val="false"/>
          <w:caps w:val="false"/>
          <w:sz w:val="24"/>
          <w:szCs w:val="24"/>
        </w:rPr>
        <w:t xml:space="preserve">  |  GSTIN [____________]  |  [Registered Address]</w:t>
      </w:r>
    </w:p>
    <w:p>
      <w:pPr>
        <w:spacing w:after="60" w:line="276"/>
        <w:jc w:val="both"/>
      </w:pPr>
      <w:r>
        <w:rPr>
          <w:rFonts w:ascii="Times New Roman" w:cs="Times New Roman" w:eastAsia="Times New Roman" w:hAnsi="Times New Roman"/>
          <w:b/>
          <w:bCs/>
          <w:i w:val="false"/>
          <w:iCs w:val="false"/>
          <w:caps w:val="false"/>
          <w:sz w:val="24"/>
          <w:szCs w:val="24"/>
        </w:rPr>
        <w:t xml:space="preserve">Subject: </w:t>
      </w:r>
      <w:r>
        <w:rPr>
          <w:rFonts w:ascii="Times New Roman" w:cs="Times New Roman" w:eastAsia="Times New Roman" w:hAnsi="Times New Roman"/>
          <w:b/>
          <w:bCs/>
          <w:i w:val="false"/>
          <w:iCs w:val="false"/>
          <w:caps w:val="false"/>
          <w:sz w:val="24"/>
          <w:szCs w:val="24"/>
        </w:rPr>
        <w:t xml:space="preserve">Application for removal of the provisional attachment of the Company’s bank account under Section 83, the adjudication of the underlying Show Cause Notice having been completed, and the attachment ceasing to be sustainable — DRC-22 dated [____].</w:t>
      </w:r>
    </w:p>
    <w:p>
      <w:pPr>
        <w:spacing w:after="120" w:line="276"/>
        <w:jc w:val="both"/>
      </w:pPr>
      <w:r>
        <w:rPr>
          <w:rFonts w:ascii="Times New Roman" w:cs="Times New Roman" w:eastAsia="Times New Roman" w:hAnsi="Times New Roman"/>
          <w:b/>
          <w:bCs/>
          <w:i w:val="false"/>
          <w:iCs w:val="false"/>
          <w:caps w:val="false"/>
          <w:sz w:val="24"/>
          <w:szCs w:val="24"/>
        </w:rPr>
        <w:t xml:space="preserve">Ref: </w:t>
      </w:r>
      <w:r>
        <w:rPr>
          <w:rFonts w:ascii="Times New Roman" w:cs="Times New Roman" w:eastAsia="Times New Roman" w:hAnsi="Times New Roman"/>
          <w:b w:val="false"/>
          <w:bCs w:val="false"/>
          <w:i w:val="false"/>
          <w:iCs w:val="false"/>
          <w:caps w:val="false"/>
          <w:sz w:val="24"/>
          <w:szCs w:val="24"/>
        </w:rPr>
        <w:t xml:space="preserve">Show Cause Notice under Section 73(1) dated [____]; provisional attachment in Form GST DRC-22 dated [____]; adjudication order dated [____].</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Respected Sir / Madam,</w:t>
      </w:r>
    </w:p>
    <w:p>
      <w:pPr>
        <w:spacing w:after="120"/>
        <w:jc w:val="both"/>
      </w:pPr>
      <w:r>
        <w:rPr>
          <w:rFonts w:ascii="Times New Roman" w:cs="Times New Roman" w:eastAsia="Times New Roman" w:hAnsi="Times New Roman"/>
          <w:b/>
          <w:bCs/>
          <w:i/>
          <w:iCs/>
          <w:sz w:val="20"/>
          <w:szCs w:val="20"/>
        </w:rPr>
        <w:t xml:space="preserve">Drafting note (to be removed before filing): </w:t>
      </w:r>
      <w:r>
        <w:rPr>
          <w:rFonts w:ascii="Times New Roman" w:cs="Times New Roman" w:eastAsia="Times New Roman" w:hAnsi="Times New Roman"/>
          <w:i/>
          <w:iCs/>
          <w:sz w:val="20"/>
          <w:szCs w:val="20"/>
        </w:rPr>
        <w:t xml:space="preserve">Particulars in bold square brackets are placeholders. Every case authority is marked [VERIFY] for a final check before filing. The facts (an SCN under Section 73(1); the Company’s reply; a Section 83 attachment; an objection under Rule 159(5) rejected by a non-speaking order; and the subsequent adjudication order) are reproduced from the source. The reference in the source to ‘Rule 142(5)’ is read as Rule 159(5), which governs objections to provisional attachment.</w:t>
      </w:r>
    </w:p>
    <w:p>
      <w:pPr>
        <w:pStyle w:val="Heading1"/>
        <w:spacing w:after="160" w:before="260"/>
      </w:pPr>
      <w:r>
        <w:rPr>
          <w:rFonts w:ascii="Times New Roman" w:cs="Times New Roman" w:eastAsia="Times New Roman" w:hAnsi="Times New Roman"/>
          <w:b/>
          <w:bCs/>
          <w:caps/>
          <w:sz w:val="26"/>
          <w:szCs w:val="26"/>
        </w:rPr>
        <w:t xml:space="preserve">Synopsis</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During the pendency of a Show Cause Notice under Section 73(1), the Department provisionally attached the Company’s bank account under Section 83. The adjudication of that Show Cause Notice has since been completed and the order served. With the adjudication complete, the provisional attachment — a measure that exists only to protect the revenue </w:t>
      </w:r>
      <w:r>
        <w:rPr>
          <w:rFonts w:ascii="Times New Roman" w:cs="Times New Roman" w:eastAsia="Times New Roman" w:hAnsi="Times New Roman"/>
          <w:b/>
          <w:bCs/>
          <w:i w:val="false"/>
          <w:iCs w:val="false"/>
          <w:caps w:val="false"/>
          <w:sz w:val="24"/>
          <w:szCs w:val="24"/>
        </w:rPr>
        <w:t xml:space="preserve">during the pendency</w:t>
      </w:r>
      <w:r>
        <w:rPr>
          <w:rFonts w:ascii="Times New Roman" w:cs="Times New Roman" w:eastAsia="Times New Roman" w:hAnsi="Times New Roman"/>
          <w:b w:val="false"/>
          <w:bCs w:val="false"/>
          <w:i w:val="false"/>
          <w:iCs w:val="false"/>
          <w:caps w:val="false"/>
          <w:sz w:val="24"/>
          <w:szCs w:val="24"/>
        </w:rPr>
        <w:t xml:space="preserve"> of the specified proceedings — has spent its purpose and cannot continue. Any recovery of the adjudicated demand must follow the regime of Sections 78 and 79; and on the Company’s filing of an appeal under Section 107 with the prescribed pre-deposit, recovery of the balance stands stayed under Section 107(7). The attachment is, in any event, subject to the one-year ceiling in Section 83(2). It ought to be lifted.</w:t>
      </w:r>
    </w:p>
    <w:p>
      <w:pPr>
        <w:pStyle w:val="Heading1"/>
        <w:spacing w:after="160" w:before="260"/>
      </w:pPr>
      <w:r>
        <w:rPr>
          <w:rFonts w:ascii="Times New Roman" w:cs="Times New Roman" w:eastAsia="Times New Roman" w:hAnsi="Times New Roman"/>
          <w:b/>
          <w:bCs/>
          <w:caps/>
          <w:sz w:val="26"/>
          <w:szCs w:val="26"/>
        </w:rPr>
        <w:t xml:space="preserve">Factual Background</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Company. </w:t>
      </w:r>
      <w:r>
        <w:rPr>
          <w:rFonts w:ascii="Times New Roman" w:cs="Times New Roman" w:eastAsia="Times New Roman" w:hAnsi="Times New Roman"/>
          <w:b w:val="false"/>
          <w:bCs w:val="false"/>
          <w:i w:val="false"/>
          <w:iCs w:val="false"/>
          <w:caps w:val="false"/>
          <w:sz w:val="24"/>
          <w:szCs w:val="24"/>
        </w:rPr>
        <w:t xml:space="preserve">M/s Noticedesk Technologies Private Limited, GSTIN [____________], registered with effect from [____].</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SCN, the attachment and the objection. </w:t>
      </w:r>
      <w:r>
        <w:rPr>
          <w:rFonts w:ascii="Times New Roman" w:cs="Times New Roman" w:eastAsia="Times New Roman" w:hAnsi="Times New Roman"/>
          <w:b w:val="false"/>
          <w:bCs w:val="false"/>
          <w:i w:val="false"/>
          <w:iCs w:val="false"/>
          <w:caps w:val="false"/>
          <w:sz w:val="24"/>
          <w:szCs w:val="24"/>
        </w:rPr>
        <w:t xml:space="preserve">The Department issued an SCN under Section 73(1) on [____], to which the Company replied on [____]. The Department then attached the Company’s bank account under Section 83 by Form GST DRC-22 dated [____]. The Company’s objection under Rule 159(5) was rejected by a non-speaking order.</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adjudication. </w:t>
      </w:r>
      <w:r>
        <w:rPr>
          <w:rFonts w:ascii="Times New Roman" w:cs="Times New Roman" w:eastAsia="Times New Roman" w:hAnsi="Times New Roman"/>
          <w:b w:val="false"/>
          <w:bCs w:val="false"/>
          <w:i w:val="false"/>
          <w:iCs w:val="false"/>
          <w:caps w:val="false"/>
          <w:sz w:val="24"/>
          <w:szCs w:val="24"/>
        </w:rPr>
        <w:t xml:space="preserve">The Department has since passed the adjudication order on the said SCN, served on the Company on [____]. The Company intends to file an appeal under Section 107 and will place a copy on record once filed.</w:t>
      </w:r>
    </w:p>
    <w:p>
      <w:pPr>
        <w:pStyle w:val="Heading1"/>
        <w:spacing w:after="160" w:before="260"/>
      </w:pPr>
      <w:r>
        <w:rPr>
          <w:rFonts w:ascii="Times New Roman" w:cs="Times New Roman" w:eastAsia="Times New Roman" w:hAnsi="Times New Roman"/>
          <w:b/>
          <w:bCs/>
          <w:caps/>
          <w:sz w:val="26"/>
          <w:szCs w:val="26"/>
        </w:rPr>
        <w:t xml:space="preserve">Submissions</w:t>
      </w:r>
    </w:p>
    <w:p>
      <w:pPr>
        <w:pStyle w:val="Heading2"/>
        <w:spacing w:after="140" w:before="200"/>
      </w:pPr>
      <w:r>
        <w:rPr>
          <w:rFonts w:ascii="Times New Roman" w:cs="Times New Roman" w:eastAsia="Times New Roman" w:hAnsi="Times New Roman"/>
          <w:b/>
          <w:bCs/>
          <w:sz w:val="24"/>
          <w:szCs w:val="24"/>
        </w:rPr>
        <w:t xml:space="preserve">Submission 1: A provisional attachment cannot survive the conclusion of the proceedings during whose pendency it was made</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Section 83 permits provisional attachment only ‘during the pendency’ of a proceeding under the specified provisions (including Section 73). The attachment is provisional and ancillary to that proceeding; it is not a mode of recovery. Once the proceeding is concluded by the adjudication order, the very condition on which the attachment rested — the pendency of the proceeding — ceases to exist, and the attachment cannot continue. To persist with it after adjudication is to convert a protective, provisional measure into a recovery tool, which Section 83 does not permit.</w:t>
      </w:r>
    </w:p>
    <w:p>
      <w:pPr>
        <w:pStyle w:val="Heading2"/>
        <w:spacing w:after="140" w:before="200"/>
      </w:pPr>
      <w:r>
        <w:rPr>
          <w:rFonts w:ascii="Times New Roman" w:cs="Times New Roman" w:eastAsia="Times New Roman" w:hAnsi="Times New Roman"/>
          <w:b/>
          <w:bCs/>
          <w:sz w:val="24"/>
          <w:szCs w:val="24"/>
        </w:rPr>
        <w:t xml:space="preserve">Submission 2: Recovery of the adjudicated demand lies under Sections 78–79, and is stayed on appeal under Section 107(7)</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After adjudication, the demand is governed by the recovery regime: Section 78 (which ordinarily allows three months before recovery) read with Section 79. The Company intends to file an appeal under Section 107; on payment of the admitted amount and 10% of the disputed tax, Section 107(7) deems recovery of the balance to be stayed. In either event, the continued attachment under Section 83 is unnecessary to protect the revenue and ought to be lifted.</w:t>
      </w:r>
    </w:p>
    <w:p>
      <w:pPr>
        <w:pStyle w:val="Heading2"/>
        <w:spacing w:after="140" w:before="200"/>
      </w:pPr>
      <w:r>
        <w:rPr>
          <w:rFonts w:ascii="Times New Roman" w:cs="Times New Roman" w:eastAsia="Times New Roman" w:hAnsi="Times New Roman"/>
          <w:b/>
          <w:bCs/>
          <w:sz w:val="24"/>
          <w:szCs w:val="24"/>
        </w:rPr>
        <w:t xml:space="preserve">Submission 3: The attachment is draconian and time-limited — Radha Krishan Industries; Section 83(2)</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Provisional attachment is a draconian power to be exercised strictly within the limits of Section 83 and proportionately, as the Hon’ble Supreme Court held in </w:t>
      </w:r>
      <w:r>
        <w:rPr>
          <w:rFonts w:ascii="Times New Roman" w:cs="Times New Roman" w:eastAsia="Times New Roman" w:hAnsi="Times New Roman"/>
          <w:b w:val="false"/>
          <w:bCs w:val="false"/>
          <w:i/>
          <w:iCs/>
          <w:caps w:val="false"/>
          <w:sz w:val="24"/>
          <w:szCs w:val="24"/>
        </w:rPr>
        <w:t xml:space="preserve">Radha Krishan Industries v. State of Himachal Pradesh</w:t>
      </w:r>
      <w:r>
        <w:rPr>
          <w:rFonts w:ascii="Times New Roman" w:cs="Times New Roman" w:eastAsia="Times New Roman" w:hAnsi="Times New Roman"/>
          <w:b w:val="false"/>
          <w:bCs w:val="false"/>
          <w:i w:val="false"/>
          <w:iCs w:val="false"/>
          <w:caps w:val="false"/>
          <w:sz w:val="24"/>
          <w:szCs w:val="24"/>
        </w:rPr>
        <w:t xml:space="preserve">, (2021) 6 SCC 771 / 2021 SCC OnLine SC 334, Civil Appeal No. 1155 of 2021, decided 20.04.2021; the Court also deprecated the rejection of a Rule 159(5) objection by a non-speaking order. In any event, under Section 83(2) the attachment ceases on the expiry of one year from the date of the order. The attachment here, having outlived both its statutory purpose and (if applicable) its one-year life, must be released.</w:t>
      </w:r>
    </w:p>
    <w:p>
      <w:pPr>
        <w:pStyle w:val="Heading1"/>
        <w:spacing w:after="160" w:before="260"/>
      </w:pPr>
      <w:r>
        <w:rPr>
          <w:rFonts w:ascii="Times New Roman" w:cs="Times New Roman" w:eastAsia="Times New Roman" w:hAnsi="Times New Roman"/>
          <w:b/>
          <w:bCs/>
          <w:caps/>
          <w:sz w:val="26"/>
          <w:szCs w:val="26"/>
        </w:rPr>
        <w:t xml:space="preserve">Prayer</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Company most respectfully prays that the Commissioner / Proper Officer be pleased to:</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RELEASE the provisional attachment of the Company’s bank account effected by Form GST DRC-22, the adjudication of the underlying Show Cause Notice having been completed;</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HOLD that a provisional attachment under Section 83 cannot continue after the conclusion of the proceeding during whose pendency it was made, and is not a mode of recovery;</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HOLD that recovery of the adjudicated demand lies under Sections 78–79 and is stayed on the filing of the appeal with the prescribed pre-deposit under Section 107(7); and that the attachment ceases after one year under Section 83(2); and</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PASS such further or other order as may be just and proper.</w:t>
      </w:r>
    </w:p>
    <w:p>
      <w:pPr>
        <w:spacing w:after="160" w:before="80" w:line="276"/>
        <w:jc w:val="both"/>
      </w:pPr>
      <w:r>
        <w:rPr>
          <w:rFonts w:ascii="Times New Roman" w:cs="Times New Roman" w:eastAsia="Times New Roman" w:hAnsi="Times New Roman"/>
          <w:b w:val="false"/>
          <w:bCs w:val="false"/>
          <w:i w:val="false"/>
          <w:iCs w:val="false"/>
          <w:caps w:val="false"/>
          <w:sz w:val="24"/>
          <w:szCs w:val="24"/>
        </w:rPr>
        <w:t xml:space="preserve">The Company reserves the right to file further submissions and to be heard. Nothing herein shall be construed as an admission of any kind.</w:t>
      </w:r>
    </w:p>
    <w:p>
      <w:pPr>
        <w:pStyle w:val="Heading1"/>
        <w:spacing w:after="160" w:before="260"/>
      </w:pPr>
      <w:r>
        <w:rPr>
          <w:rFonts w:ascii="Times New Roman" w:cs="Times New Roman" w:eastAsia="Times New Roman" w:hAnsi="Times New Roman"/>
          <w:b/>
          <w:bCs/>
          <w:caps/>
          <w:sz w:val="26"/>
          <w:szCs w:val="26"/>
        </w:rPr>
        <w:t xml:space="preserve">Authorities and Provisions Relied Upon</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Sections 78, 79, 83 (including sub-section (2)), 107(7) of the CGST Act, 2017; Rule 159 (including sub-rule (5)) of the CGST Rules, 2017 (Forms GST DRC-22 and DRC-23).</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Radha Krishan Industries v. State of Himachal Pradesh, Supreme Court, (2021) 6 SCC 771 / 2021 SCC OnLine SC 334, CA 1155/2021, 20.04.2021.</w:t>
      </w:r>
    </w:p>
    <w:p>
      <w:pPr>
        <w:spacing w:after="20" w:before="160" w:line="276"/>
        <w:jc w:val="both"/>
      </w:pPr>
      <w:r>
        <w:rPr>
          <w:rFonts w:ascii="Times New Roman" w:cs="Times New Roman" w:eastAsia="Times New Roman" w:hAnsi="Times New Roman"/>
          <w:b w:val="false"/>
          <w:bCs w:val="false"/>
          <w:i w:val="false"/>
          <w:iCs w:val="false"/>
          <w:caps w:val="false"/>
          <w:sz w:val="24"/>
          <w:szCs w:val="24"/>
        </w:rPr>
        <w:t xml:space="preserve">For and on behalf of</w:t>
      </w:r>
    </w:p>
    <w:p>
      <w:pPr>
        <w:spacing w:after="200" w:line="276"/>
        <w:jc w:val="both"/>
      </w:pPr>
      <w:r>
        <w:rPr>
          <w:rFonts w:ascii="Times New Roman" w:cs="Times New Roman" w:eastAsia="Times New Roman" w:hAnsi="Times New Roman"/>
          <w:b/>
          <w:bCs/>
          <w:i w:val="false"/>
          <w:iCs w:val="false"/>
          <w:caps w:val="false"/>
          <w:sz w:val="24"/>
          <w:szCs w:val="24"/>
        </w:rPr>
        <w:t xml:space="preserve">M/s Noticedesk Technologies Private Limited</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_______________________________</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Authorised Signatory / Director</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Place: Mumbai</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Date: [____]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60"/>
      </w:pPr>
    </w:lvl>
  </w:abstractNum>
  <w:abstractNum w:abstractNumId="3" w15:restartNumberingAfterBreak="0">
    <w:multiLevelType w:val="hybridMultilevel"/>
    <w:lvl w:ilvl="0" w15:tentative="1">
      <w:start w:val="1"/>
      <w:numFmt w:val="lowerLetter"/>
      <w:lvlText w:val="(%1)"/>
      <w:lvlJc w:val="left"/>
      <w:pPr>
        <w:ind w:left="1080" w:hanging="420"/>
      </w:pPr>
    </w:lvl>
  </w:abstractNum>
  <w:abstractNum w:abstractNumId="4" w15:restartNumberingAfterBreak="0">
    <w:multiLevelType w:val="hybridMultilevel"/>
    <w:lvl w:ilvl="0" w15:tentative="1">
      <w:start w:val="1"/>
      <w:numFmt w:val="lowerLetter"/>
      <w:lvlText w:val="(%1)"/>
      <w:lvlJc w:val="left"/>
      <w:pPr>
        <w:ind w:left="1080" w:hanging="420"/>
      </w:pPr>
    </w:lvl>
  </w:abstractNum>
  <w:abstractNum w:abstractNumId="5" w15:restartNumberingAfterBreak="0">
    <w:multiLevelType w:val="hybridMultilevel"/>
    <w:lvl w:ilvl="0" w15:tentative="1">
      <w:start w:val="1"/>
      <w:numFmt w:val="lowerLetter"/>
      <w:lvlText w:val="(%1)"/>
      <w:lvlJc w:val="left"/>
      <w:pPr>
        <w:ind w:left="1080" w:hanging="420"/>
      </w:pPr>
    </w:lvl>
  </w:abstractNum>
  <w:abstractNum w:abstractNumId="6" w15:restartNumberingAfterBreak="0">
    <w:multiLevelType w:val="hybridMultilevel"/>
    <w:lvl w:ilvl="0" w15:tentative="1">
      <w:start w:val="1"/>
      <w:numFmt w:val="decimal"/>
      <w:lvlText w:val="%1."/>
      <w:lvlJc w:val="left"/>
      <w:pPr>
        <w:ind w:left="600" w:hanging="360"/>
      </w:pPr>
    </w:lvl>
  </w:abstractNum>
  <w:abstractNum w:abstractNumId="7" w15:restartNumberingAfterBreak="0">
    <w:multiLevelType w:val="hybridMultilevel"/>
    <w:lvl w:ilvl="0" w15:tentative="1">
      <w:start w:val="1"/>
      <w:numFmt w:val="decimal"/>
      <w:lvlText w:val="%1."/>
      <w:lvlJc w:val="left"/>
      <w:pPr>
        <w:ind w:left="600" w:hanging="360"/>
      </w:pPr>
    </w:lvl>
  </w:abstractNum>
  <w:abstractNum w:abstractNumId="8" w15:restartNumberingAfterBreak="0">
    <w:multiLevelType w:val="hybridMultilevel"/>
    <w:lvl w:ilvl="0" w15:tentative="1">
      <w:start w:val="1"/>
      <w:numFmt w:val="decimal"/>
      <w:lvlText w:val="%1."/>
      <w:lvlJc w:val="left"/>
      <w:pPr>
        <w:ind w:left="600" w:hanging="360"/>
      </w:pPr>
    </w:lvl>
  </w:abstractNum>
  <w:abstractNum w:abstractNumId="9"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6"/>
    <w:lvlOverride w:ilvl="0">
      <w:startOverride w:val="1"/>
    </w:lvlOverride>
  </w:num>
  <w:num w:numId="4">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6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4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2026-06-13T08:26:22.649Z</dcterms:created>
  <dcterms:modified xsi:type="dcterms:W3CDTF">2026-06-13T08:26:22.649Z</dcterms:modified>
</cp:coreProperties>
</file>

<file path=docProps/custom.xml><?xml version="1.0" encoding="utf-8"?>
<Properties xmlns="http://schemas.openxmlformats.org/officeDocument/2006/custom-properties" xmlns:vt="http://schemas.openxmlformats.org/officeDocument/2006/docPropsVTypes"/>
</file>