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Assistant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to unblock the Electronic Credit Ledger blocked under Rule 86A of the CGST Rules, 2017, the period of one year from the date of blocking having expired, and the restriction having ceased to have effect by operation of Rule 86A(3) — blocking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Blocking of the Electronic Credit Ledger under Rule 86A dated [____]; amount Rs.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(blocking under Rule 86A without a specific reason; no communication thereafter; no notice under Section 73/74; and the expiry of one year from the date of blocking)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Department blocked the Company’s Electronic Credit Ledger under Rule 86A on [____], in the amount of Rs. [____]. More than one year has since elapsed; no further communication has been received, and no notice under Section 73/74 has been issued. By the express terms of Rule 86A(3), a restriction imposed under the rule ‘shall cease to have effect after the expiry of a period of one year from the date of imposition’. The blocking has therefore ceased to have effect by operation of law and the ledger ought to be unblocked forthwith. The continued restriction is also unsustainable as the blocking was ordered without any communicated reasons or pre-decisional hearing.</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blocking. </w:t>
      </w:r>
      <w:r>
        <w:rPr>
          <w:rFonts w:ascii="Times New Roman" w:cs="Times New Roman" w:eastAsia="Times New Roman" w:hAnsi="Times New Roman"/>
          <w:b w:val="false"/>
          <w:bCs w:val="false"/>
          <w:i w:val="false"/>
          <w:iCs w:val="false"/>
          <w:caps w:val="false"/>
          <w:sz w:val="24"/>
          <w:szCs w:val="24"/>
        </w:rPr>
        <w:t xml:space="preserve">On [____], the Department blocked the Company’s Electronic Credit Ledger under Rule 86A in the amount of Rs. [____], without communicating any specific reason.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Lapse of one year. </w:t>
      </w:r>
      <w:r>
        <w:rPr>
          <w:rFonts w:ascii="Times New Roman" w:cs="Times New Roman" w:eastAsia="Times New Roman" w:hAnsi="Times New Roman"/>
          <w:b w:val="false"/>
          <w:bCs w:val="false"/>
          <w:i w:val="false"/>
          <w:iCs w:val="false"/>
          <w:caps w:val="false"/>
          <w:sz w:val="24"/>
          <w:szCs w:val="24"/>
        </w:rPr>
        <w:t xml:space="preserve">More than one year has elapsed from the date of blocking. No further communication has been received from the Department, and no notice under Section 73 or 74 has been issued in respect of the blocked credit.</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restriction has ceased to have effect by operation of Rule 86A(3)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86A(3) provides:</w:t>
      </w:r>
    </w:p>
    <w:p>
      <w:pPr>
        <w:spacing w:after="140" w:line="264"/>
        <w:ind w:left="720" w:right="360"/>
        <w:jc w:val="both"/>
      </w:pPr>
      <w:r>
        <w:rPr>
          <w:rFonts w:ascii="Times New Roman" w:cs="Times New Roman" w:eastAsia="Times New Roman" w:hAnsi="Times New Roman"/>
          <w:i/>
          <w:iCs/>
          <w:sz w:val="22"/>
          <w:szCs w:val="22"/>
        </w:rPr>
        <w:t xml:space="preserve">(3) Such restriction shall cease to have effect after the expiry of a period of one year from the date of imposition of such restriction.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one-year period from the date of imposition having expired, the restriction has, by the rule’s own terms, automatically ceased to have effect. There is no power to extend or continue it beyond one year. The Company is accordingly entitled, as of right, to the immediate unblocking of its Electronic Credit Ledger, and to the use of the credit therein.</w:t>
      </w:r>
    </w:p>
    <w:p>
      <w:pPr>
        <w:pStyle w:val="Heading2"/>
        <w:spacing w:after="140" w:before="200"/>
      </w:pPr>
      <w:r>
        <w:rPr>
          <w:rFonts w:ascii="Times New Roman" w:cs="Times New Roman" w:eastAsia="Times New Roman" w:hAnsi="Times New Roman"/>
          <w:b/>
          <w:bCs/>
          <w:sz w:val="24"/>
          <w:szCs w:val="24"/>
        </w:rPr>
        <w:t xml:space="preserve">Submission 2: The blocking was, in any event, unsustainable from the outset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blocking was ordered without communicating any reasons and without a pre-decisional hearing. Blocking under Rule 86A is a ‘drastic’ measure requiring the officer’s independent ‘reasons to believe’, recorded in writing, and a pre-decisional hearing: </w:t>
      </w:r>
      <w:r>
        <w:rPr>
          <w:rFonts w:ascii="Times New Roman" w:cs="Times New Roman" w:eastAsia="Times New Roman" w:hAnsi="Times New Roman"/>
          <w:b w:val="false"/>
          <w:bCs w:val="false"/>
          <w:i/>
          <w:iCs/>
          <w:caps w:val="false"/>
          <w:sz w:val="24"/>
          <w:szCs w:val="24"/>
        </w:rPr>
        <w:t xml:space="preserve">K-9 Enterprises v. State of Karnataka</w:t>
      </w:r>
      <w:r>
        <w:rPr>
          <w:rFonts w:ascii="Times New Roman" w:cs="Times New Roman" w:eastAsia="Times New Roman" w:hAnsi="Times New Roman"/>
          <w:b w:val="false"/>
          <w:bCs w:val="false"/>
          <w:i w:val="false"/>
          <w:iCs w:val="false"/>
          <w:caps w:val="false"/>
          <w:sz w:val="24"/>
          <w:szCs w:val="24"/>
        </w:rPr>
        <w:t xml:space="preserve">, Karnataka HC (DB), W.A. No. 100425 of 2023, dated 02.04.2024 [VERIFY] (SLP dismissed by the Supreme Court on 16.05.2025 [VERIFY]); and the blocking cannot exceed the credit available in the ledger (</w:t>
      </w:r>
      <w:r>
        <w:rPr>
          <w:rFonts w:ascii="Times New Roman" w:cs="Times New Roman" w:eastAsia="Times New Roman" w:hAnsi="Times New Roman"/>
          <w:b w:val="false"/>
          <w:bCs w:val="false"/>
          <w:i/>
          <w:iCs/>
          <w:caps w:val="false"/>
          <w:sz w:val="24"/>
          <w:szCs w:val="24"/>
        </w:rPr>
        <w:t xml:space="preserve">Best Crop Science Pvt. Ltd. v. Principal Commissioner, CGST</w:t>
      </w:r>
      <w:r>
        <w:rPr>
          <w:rFonts w:ascii="Times New Roman" w:cs="Times New Roman" w:eastAsia="Times New Roman" w:hAnsi="Times New Roman"/>
          <w:b w:val="false"/>
          <w:bCs w:val="false"/>
          <w:i w:val="false"/>
          <w:iCs w:val="false"/>
          <w:caps w:val="false"/>
          <w:sz w:val="24"/>
          <w:szCs w:val="24"/>
        </w:rPr>
        <w:t xml:space="preserve">, Delhi HC, W.P.(C) 10980 of 2024 (batch), dated 24.09.2024, affirmed by the Supreme Court on 17.05.2025 and 09.07.2025). The absence of any subsequent notice under Section 73/74 confirms that the credit ought not to have remained blocked.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UNBLOCK the Electronic Credit Ledger of the Company forthwith, the one-year period under Rule 86A(3) having expired;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RESTORE to the Company the use of the credit of Rs. [____] in the said ledger;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blocking was, in any event, unsustainable for want of communicated reasons and a pre-decisional hearing;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86A (including sub-rule (3)) of the CGST Rules, 2017; Sections 16, 73, 74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K-9 Enterprises v. State of Karnataka, Karnataka HC (DB), W.A. No. 100425 of 2023, 02.04.2024; SLP dismissed by SC on 16.05.2025.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Best Crop Science Pvt. Ltd. v. Principal Commissioner, CGST, Delhi HC, W.P.(C) 10980 of 2024 (batch), 24.09.2024 (negative-blocking bar; affirmed by SC dismissals in Kings Security Guard Services, 17.05.2025, 2025 (5) TMI 1519 (SC), and Karuna Rajendra Ringshia, 09.07.2025, 2025 (7) TMI 791 (SC)).</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2026-06-13T08:26:23.019Z</dcterms:created>
  <dcterms:modified xsi:type="dcterms:W3CDTF">2026-06-13T08:26:23.019Z</dcterms:modified>
</cp:coreProperties>
</file>

<file path=docProps/custom.xml><?xml version="1.0" encoding="utf-8"?>
<Properties xmlns="http://schemas.openxmlformats.org/officeDocument/2006/custom-properties" xmlns:vt="http://schemas.openxmlformats.org/officeDocument/2006/docPropsVTypes"/>
</file>