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Proper Officer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Intimation / representation regarding the availment of input tax credit on the construction of a building that is to be used for providing a taxable output service (leasing / renting), with submissions on Section 17(5)(d) of the CGST Act, 2017 — for the period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Construction of [market complex / building]; intended taxable output supply of leasing / renting services.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The legal position on this question changed materially in 2025: Section 17(5)(d) was amended retrospectively by the Finance Act, 2025, substituting ‘plant and machinery’ for ‘plant or machinery’ with effect from 01.07.2017, and the Supreme Court dismissed the Revenue’s review petition in Safari Retreats on 20.05.2025. This reply is framed for the post-amendment law: it leads on the ‘on his own account’ carve-out (which the amendment did not touch), claims separately for genuinely movable ‘plant and machinery’, and reserves a constitutional challenge to the retrospective amendment. The amendment is presently in force and unstayed, and is being applied against taxpayers; this reply does not assert that the building qualifies as ‘plant’ on the (now-superseded) functionality test.</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This reply concerns the input tax credit on the construction of the Company’s building / market complex, which is to be let out on rent — a </w:t>
      </w:r>
      <w:r>
        <w:rPr>
          <w:rFonts w:ascii="Times New Roman" w:cs="Times New Roman" w:eastAsia="Times New Roman" w:hAnsi="Times New Roman"/>
          <w:b/>
          <w:bCs/>
          <w:i w:val="false"/>
          <w:iCs w:val="false"/>
          <w:caps w:val="false"/>
          <w:sz w:val="24"/>
          <w:szCs w:val="24"/>
        </w:rPr>
        <w:t xml:space="preserve">taxable output supply</w:t>
      </w:r>
      <w:r>
        <w:rPr>
          <w:rFonts w:ascii="Times New Roman" w:cs="Times New Roman" w:eastAsia="Times New Roman" w:hAnsi="Times New Roman"/>
          <w:b w:val="false"/>
          <w:bCs w:val="false"/>
          <w:i w:val="false"/>
          <w:iCs w:val="false"/>
          <w:caps w:val="false"/>
          <w:sz w:val="24"/>
          <w:szCs w:val="24"/>
        </w:rPr>
        <w:t xml:space="preserve">. The Company’s case is put on three independent footings, framed for the law as it now stands. </w:t>
      </w:r>
      <w:r>
        <w:rPr>
          <w:rFonts w:ascii="Times New Roman" w:cs="Times New Roman" w:eastAsia="Times New Roman" w:hAnsi="Times New Roman"/>
          <w:b/>
          <w:bCs/>
          <w:i w:val="false"/>
          <w:iCs w:val="false"/>
          <w:caps w:val="false"/>
          <w:sz w:val="24"/>
          <w:szCs w:val="24"/>
        </w:rPr>
        <w:t xml:space="preserve">First</w:t>
      </w:r>
      <w:r>
        <w:rPr>
          <w:rFonts w:ascii="Times New Roman" w:cs="Times New Roman" w:eastAsia="Times New Roman" w:hAnsi="Times New Roman"/>
          <w:b w:val="false"/>
          <w:bCs w:val="false"/>
          <w:i w:val="false"/>
          <w:iCs w:val="false"/>
          <w:caps w:val="false"/>
          <w:sz w:val="24"/>
          <w:szCs w:val="24"/>
        </w:rPr>
        <w:t xml:space="preserve">, the bar in Section 17(5)(d) applies only to construction undertaken ‘on his own account’; a building constructed to be let out to tenants for a taxable rental is not constructed ‘on the Company’s own account’, and so falls outside the bar altogether — a carve-out the Finance Act, 2025 amendment left intact. </w:t>
      </w:r>
      <w:r>
        <w:rPr>
          <w:rFonts w:ascii="Times New Roman" w:cs="Times New Roman" w:eastAsia="Times New Roman" w:hAnsi="Times New Roman"/>
          <w:b/>
          <w:bCs/>
          <w:i w:val="false"/>
          <w:iCs w:val="false"/>
          <w:caps w:val="false"/>
          <w:sz w:val="24"/>
          <w:szCs w:val="24"/>
        </w:rPr>
        <w:t xml:space="preserve">Second</w:t>
      </w:r>
      <w:r>
        <w:rPr>
          <w:rFonts w:ascii="Times New Roman" w:cs="Times New Roman" w:eastAsia="Times New Roman" w:hAnsi="Times New Roman"/>
          <w:b w:val="false"/>
          <w:bCs w:val="false"/>
          <w:i w:val="false"/>
          <w:iCs w:val="false"/>
          <w:caps w:val="false"/>
          <w:sz w:val="24"/>
          <w:szCs w:val="24"/>
        </w:rPr>
        <w:t xml:space="preserve">, to the extent any part of the expenditure is referable to genuinely movable apparatus, equipment or machinery (and its foundation / structural support) answering the definition of ‘plant and machinery’, the credit on that part is allowable irrespective of the amendment. </w:t>
      </w:r>
      <w:r>
        <w:rPr>
          <w:rFonts w:ascii="Times New Roman" w:cs="Times New Roman" w:eastAsia="Times New Roman" w:hAnsi="Times New Roman"/>
          <w:b/>
          <w:bCs/>
          <w:i w:val="false"/>
          <w:iCs w:val="false"/>
          <w:caps w:val="false"/>
          <w:sz w:val="24"/>
          <w:szCs w:val="24"/>
        </w:rPr>
        <w:t xml:space="preserve">Third</w:t>
      </w:r>
      <w:r>
        <w:rPr>
          <w:rFonts w:ascii="Times New Roman" w:cs="Times New Roman" w:eastAsia="Times New Roman" w:hAnsi="Times New Roman"/>
          <w:b w:val="false"/>
          <w:bCs w:val="false"/>
          <w:i w:val="false"/>
          <w:iCs w:val="false"/>
          <w:caps w:val="false"/>
          <w:sz w:val="24"/>
          <w:szCs w:val="24"/>
        </w:rPr>
        <w:t xml:space="preserve">, and without prejudice, the Company reserves its challenge to the constitutional validity of the retrospective amendment. The Company files this under protest and with full reservation.</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has constructed / is constructing a building (market complex) at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intended use. </w:t>
      </w:r>
      <w:r>
        <w:rPr>
          <w:rFonts w:ascii="Times New Roman" w:cs="Times New Roman" w:eastAsia="Times New Roman" w:hAnsi="Times New Roman"/>
          <w:b w:val="false"/>
          <w:bCs w:val="false"/>
          <w:i w:val="false"/>
          <w:iCs w:val="false"/>
          <w:caps w:val="false"/>
          <w:sz w:val="24"/>
          <w:szCs w:val="24"/>
        </w:rPr>
        <w:t xml:space="preserve">The building is to be let out on lease / rent to tenants, the leasing / renting being a taxable supply of service under the Act (classified under heading [____]), on which the Company discharges output tax. The building is not for the Company’s own occupation or consumption; it is the Company’s means of making the taxable output supply.</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credit. </w:t>
      </w:r>
      <w:r>
        <w:rPr>
          <w:rFonts w:ascii="Times New Roman" w:cs="Times New Roman" w:eastAsia="Times New Roman" w:hAnsi="Times New Roman"/>
          <w:b w:val="false"/>
          <w:bCs w:val="false"/>
          <w:i w:val="false"/>
          <w:iCs w:val="false"/>
          <w:caps w:val="false"/>
          <w:sz w:val="24"/>
          <w:szCs w:val="24"/>
        </w:rPr>
        <w:t xml:space="preserve">In the course of construction, the Company has incurred GST on works contract services, goods and other inputs / input services referable to the building, a part of which is referable to movable apparatus / equipment installed in it (particulars and segregation at Annexure 1).</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Ground 1 (primary): The bar in Section 17(5)(d) does not apply — the construction is not ‘on his own account’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17(5)(d) blocks credit on goods or services received by a taxable person for the construction of an immovable property </w:t>
      </w:r>
      <w:r>
        <w:rPr>
          <w:rFonts w:ascii="Times New Roman" w:cs="Times New Roman" w:eastAsia="Times New Roman" w:hAnsi="Times New Roman"/>
          <w:b w:val="false"/>
          <w:bCs w:val="false"/>
          <w:i/>
          <w:iCs/>
          <w:caps w:val="false"/>
          <w:sz w:val="24"/>
          <w:szCs w:val="24"/>
        </w:rPr>
        <w:t xml:space="preserve">‘on his own account’</w:t>
      </w:r>
      <w:r>
        <w:rPr>
          <w:rFonts w:ascii="Times New Roman" w:cs="Times New Roman" w:eastAsia="Times New Roman" w:hAnsi="Times New Roman"/>
          <w:b w:val="false"/>
          <w:bCs w:val="false"/>
          <w:i w:val="false"/>
          <w:iCs w:val="false"/>
          <w:caps w:val="false"/>
          <w:sz w:val="24"/>
          <w:szCs w:val="24"/>
        </w:rPr>
        <w:t xml:space="preserve">, and that qualifying phrase has not been altered by the Finance Act, 2025 amendment. The phrase is a real limitation: it confines the bar to construction a person undertakes for himself — for his own use, occupation or consumption — and does not reach construction undertaken as the very business of letting the property out to others for a taxable consideration. Here the building is not built for the Company’s own account at all; it is built to be handed over to tenants for a taxable rental, and is the apparatus through which the Company earns its taxable output. The bar therefore does not bite, and the credit is admissible under Section 16 in the ordinary way. This reading is consistent with the observation of the Hon’ble Supreme Court in </w:t>
      </w:r>
      <w:r>
        <w:rPr>
          <w:rFonts w:ascii="Times New Roman" w:cs="Times New Roman" w:eastAsia="Times New Roman" w:hAnsi="Times New Roman"/>
          <w:b w:val="false"/>
          <w:bCs w:val="false"/>
          <w:i/>
          <w:iCs/>
          <w:caps w:val="false"/>
          <w:sz w:val="24"/>
          <w:szCs w:val="24"/>
        </w:rPr>
        <w:t xml:space="preserve">Chief Commissioner of CGST v. Safari Retreats Pvt. Ltd.</w:t>
      </w:r>
      <w:r>
        <w:rPr>
          <w:rFonts w:ascii="Times New Roman" w:cs="Times New Roman" w:eastAsia="Times New Roman" w:hAnsi="Times New Roman"/>
          <w:b w:val="false"/>
          <w:bCs w:val="false"/>
          <w:i w:val="false"/>
          <w:iCs w:val="false"/>
          <w:caps w:val="false"/>
          <w:sz w:val="24"/>
          <w:szCs w:val="24"/>
        </w:rPr>
        <w:t xml:space="preserve">, (2025) 2 SCC 523 / 2024 (10) TMI 286 (SC), decided 03.10.2024 (the Revenue’s review petition, Review Petition (C) No. 1188 of 2025, having been dismissed on 20.05.2025 as disclosing no error apparent on the record), where the Court observed that a building constructed to be let out is not constructed ‘on one’s own account’. The Company relies on Safari Retreats only for this ‘own account’ reasoning, which the amendment did not disturb — not on the (now-superseded) ‘plant / functionality’ construction of the substituted words.</w:t>
      </w:r>
    </w:p>
    <w:p>
      <w:pPr>
        <w:pStyle w:val="Heading2"/>
        <w:spacing w:after="140" w:before="200"/>
      </w:pPr>
      <w:r>
        <w:rPr>
          <w:rFonts w:ascii="Times New Roman" w:cs="Times New Roman" w:eastAsia="Times New Roman" w:hAnsi="Times New Roman"/>
          <w:b/>
          <w:bCs/>
          <w:sz w:val="24"/>
          <w:szCs w:val="24"/>
        </w:rPr>
        <w:t xml:space="preserve">Ground 2: Credit on genuinely movable ‘plant and machinery’ survives the amendment in any event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Even on the amended text, the bar in Section 17(5)(d) does not extend to ‘plant and machinery’ as defined in the Explanation to Section 17 — that is, apparatus, equipment and machinery fixed to earth by foundation or structural support, used for making outward supplies, together with such foundation and structural support (but excluding land, building or other civil structures). To the extent the Company’s expenditure is referable to such movable plant and machinery installed in the building (lifts, DG sets, HVAC, transformers, fire-fighting and similar apparatus, with their foundations and supports — particulars at Annexure 1), the credit on that portion is admissible regardless of the amendment, and ought not to be lumped together with the civil-construction cost and denied. The Company’s segregation at Annexure 1 quantifies this portion.</w:t>
      </w:r>
    </w:p>
    <w:p>
      <w:pPr>
        <w:pStyle w:val="Heading2"/>
        <w:spacing w:after="140" w:before="200"/>
      </w:pPr>
      <w:r>
        <w:rPr>
          <w:rFonts w:ascii="Times New Roman" w:cs="Times New Roman" w:eastAsia="Times New Roman" w:hAnsi="Times New Roman"/>
          <w:b/>
          <w:bCs/>
          <w:sz w:val="24"/>
          <w:szCs w:val="24"/>
        </w:rPr>
        <w:t xml:space="preserve">Ground 3 (without prejudice): The retrospective amendment is challenged; the position is reserved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Without prejudice to Grounds 1 and 2, the Company reserves its right to challenge the constitutional validity of the retrospective substitution of ‘plant and machinery’ for ‘plant or machinery’ in Section 17(5)(d), effected by the Finance Act, 2025 (Section 124) with effect from 01.07.2017, together with the newly-inserted Explanation 2 (deeming the substituted phrase to have always applied ‘notwithstanding anything to the contrary contained in any judgment, decree or order of any court’), as manifestly arbitrary and violative of Article 14 — a retrospective nullification of a vested entitlement crystallised by the Supreme Court’s decision. The Company is conscious that the amendment is presently in force (brought into operation from 01.10.2025 by Notification No. 16/2025-Central Tax, with retrospective effect built into the substituted text), is unstayed, and is being applied; this Ground is therefore pressed by way of reservation, pending an authoritative determination, and the Company reserves the right to avail, or to seek refund / re-credit of, the credit should the amendment be read down or struck down.</w:t>
      </w:r>
    </w:p>
    <w:p>
      <w:pPr>
        <w:spacing w:after="120" w:before="120"/>
        <w:jc w:val="both"/>
      </w:pPr>
      <w:r>
        <w:rPr>
          <w:rFonts w:ascii="Times New Roman" w:cs="Times New Roman" w:eastAsia="Times New Roman" w:hAnsi="Times New Roman"/>
          <w:b/>
          <w:bCs/>
          <w:i/>
          <w:iCs/>
          <w:sz w:val="20"/>
          <w:szCs w:val="20"/>
        </w:rPr>
        <w:t xml:space="preserve">Note (for counsel before filing): </w:t>
      </w:r>
      <w:r>
        <w:rPr>
          <w:rFonts w:ascii="Times New Roman" w:cs="Times New Roman" w:eastAsia="Times New Roman" w:hAnsi="Times New Roman"/>
          <w:i/>
          <w:iCs/>
          <w:sz w:val="20"/>
          <w:szCs w:val="20"/>
        </w:rPr>
        <w:t xml:space="preserve">Two points to confirm on the facts. (i) The ‘own account’ argument in Ground 1 is the strongest surviving line, but the Revenue may contend that the relevant observation in Safari Retreats is obiter; be ready to argue it as sound reasoning independent of the (superseded) ‘plant’ holding. (ii) Quantify the Annexure-1 segregation of movable plant and machinery precisely, since Ground 2 turns on it. Monitor the High Courts for any admitted challenge to, or stay of, the Finance Act, 2025 amendment, which would strengthen Ground 3.</w:t>
      </w:r>
    </w:p>
    <w:p>
      <w:pPr>
        <w:pStyle w:val="Heading1"/>
        <w:spacing w:after="160" w:before="260"/>
      </w:pPr>
      <w:r>
        <w:rPr>
          <w:rFonts w:ascii="Times New Roman" w:cs="Times New Roman" w:eastAsia="Times New Roman" w:hAnsi="Times New Roman"/>
          <w:b/>
          <w:bCs/>
          <w:caps/>
          <w:sz w:val="26"/>
          <w:szCs w:val="26"/>
        </w:rPr>
        <w:t xml:space="preserve">Prayer / Request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requests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bar in Section 17(5)(d) does not apply to the construction of the building, the same not being ‘on the Company’s own account’ but for the taxable supply of leasing / renting, and ALLOW the credit accordingly;</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ALLOW, in any event, the credit referable to genuinely movable ‘plant and machinery’ as segregated at Annexure 1;</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RECORD that the Company reserves its challenge to the constitutional validity of the retrospective amendment, and its right to avail or claim refund / re-credit should the amendment be read down or struck down;</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 guidance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16 and Section 17(5)(c) and (d) of the CGST Act, 2017, with the Explanation to Section 17 defining ‘plant and machinery’ (Section 17(5)(d) as amended by the Finance Act, 2025 (Section 124), substituting ‘plant and machinery’ for ‘plant or machinery’ with effect from 01.07.2017, and inserting Explanation 2; brought into operation from 01.10.2025 by Notification No. 16/2025-Central Tax); Article 14 of the Constitution.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Chief Commissioner of CGST v. Safari Retreats Pvt. Ltd., Supreme Court, (2025) 2 SCC 523 / 2024 (10) TMI 286 (SC), 03.10.2024 — relied on for the ‘on his own account’ reasoning only; Review Petition (C) No. 1188 of 2025 dismissed 20.05.2025 (no error apparent on the record).</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2026-06-13T08:26:23.243Z</dcterms:created>
  <dcterms:modified xsi:type="dcterms:W3CDTF">2026-06-13T08:26:23.243Z</dcterms:modified>
</cp:coreProperties>
</file>

<file path=docProps/custom.xml><?xml version="1.0" encoding="utf-8"?>
<Properties xmlns="http://schemas.openxmlformats.org/officeDocument/2006/custom-properties" xmlns:vt="http://schemas.openxmlformats.org/officeDocument/2006/docPropsVTypes"/>
</file>