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Proper Officer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Request to unblock the Electronic Credit Ledger blocked under Rule 86A following a Show Cause Notice under Section 16(4), the blocking being outside the conditions of Rule 86A and the underlying allegation itself not surviving the retrospective Section 16(5) — blocking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Blocking of the Electronic Credit Ledger under Rule 86A dated [____]; Show Cause Notice under Section 16(4) dated [____]; amount Rs.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amendment is marked [VERIFY] for a final check before filing. The facts (a Rule 86A blocking, without communicated reasons, following an SCN alleging availment of ITC beyond the Section 16(4) time limit) are reproduced from the source, as is the source’s point that Rule 86A is confined to its own enumerated conditions.</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Following a Show Cause Notice alleging that the Company availed input tax credit beyond the time limit in Section 16(4), the Department blocked the Company’s Electronic Credit Ledger under Rule 86A, without communicating reasons. The blocking is doubly unsustainable. </w:t>
      </w:r>
      <w:r>
        <w:rPr>
          <w:rFonts w:ascii="Times New Roman" w:cs="Times New Roman" w:eastAsia="Times New Roman" w:hAnsi="Times New Roman"/>
          <w:b/>
          <w:bCs/>
          <w:i w:val="false"/>
          <w:iCs w:val="false"/>
          <w:caps w:val="false"/>
          <w:sz w:val="24"/>
          <w:szCs w:val="24"/>
        </w:rPr>
        <w:t xml:space="preserve">First</w:t>
      </w:r>
      <w:r>
        <w:rPr>
          <w:rFonts w:ascii="Times New Roman" w:cs="Times New Roman" w:eastAsia="Times New Roman" w:hAnsi="Times New Roman"/>
          <w:b w:val="false"/>
          <w:bCs w:val="false"/>
          <w:i w:val="false"/>
          <w:iCs w:val="false"/>
          <w:caps w:val="false"/>
          <w:sz w:val="24"/>
          <w:szCs w:val="24"/>
        </w:rPr>
        <w:t xml:space="preserve">, Rule 86A authorises blocking only where the officer has reasons to believe the credit was </w:t>
      </w:r>
      <w:r>
        <w:rPr>
          <w:rFonts w:ascii="Times New Roman" w:cs="Times New Roman" w:eastAsia="Times New Roman" w:hAnsi="Times New Roman"/>
          <w:b w:val="false"/>
          <w:bCs w:val="false"/>
          <w:i/>
          <w:iCs/>
          <w:caps w:val="false"/>
          <w:sz w:val="24"/>
          <w:szCs w:val="24"/>
        </w:rPr>
        <w:t xml:space="preserve">fraudulently availed or is ineligible</w:t>
      </w:r>
      <w:r>
        <w:rPr>
          <w:rFonts w:ascii="Times New Roman" w:cs="Times New Roman" w:eastAsia="Times New Roman" w:hAnsi="Times New Roman"/>
          <w:b w:val="false"/>
          <w:bCs w:val="false"/>
          <w:i w:val="false"/>
          <w:iCs w:val="false"/>
          <w:caps w:val="false"/>
          <w:sz w:val="24"/>
          <w:szCs w:val="24"/>
        </w:rPr>
        <w:t xml:space="preserve"> in the specific ways the rule enumerates — invoices from non-existent suppliers, supplies not received, tax not paid to the Government, and the like. An allegation that credit, otherwise genuine, was availed </w:t>
      </w:r>
      <w:r>
        <w:rPr>
          <w:rFonts w:ascii="Times New Roman" w:cs="Times New Roman" w:eastAsia="Times New Roman" w:hAnsi="Times New Roman"/>
          <w:b w:val="false"/>
          <w:bCs w:val="false"/>
          <w:i/>
          <w:iCs/>
          <w:caps w:val="false"/>
          <w:sz w:val="24"/>
          <w:szCs w:val="24"/>
        </w:rPr>
        <w:t xml:space="preserve">late</w:t>
      </w:r>
      <w:r>
        <w:rPr>
          <w:rFonts w:ascii="Times New Roman" w:cs="Times New Roman" w:eastAsia="Times New Roman" w:hAnsi="Times New Roman"/>
          <w:b w:val="false"/>
          <w:bCs w:val="false"/>
          <w:i w:val="false"/>
          <w:iCs w:val="false"/>
          <w:caps w:val="false"/>
          <w:sz w:val="24"/>
          <w:szCs w:val="24"/>
        </w:rPr>
        <w:t xml:space="preserve"> under Section 16(4) falls within none of the enumerated conditions; the blocking is outside the rule. </w:t>
      </w:r>
      <w:r>
        <w:rPr>
          <w:rFonts w:ascii="Times New Roman" w:cs="Times New Roman" w:eastAsia="Times New Roman" w:hAnsi="Times New Roman"/>
          <w:b/>
          <w:bCs/>
          <w:i w:val="false"/>
          <w:iCs w:val="false"/>
          <w:caps w:val="false"/>
          <w:sz w:val="24"/>
          <w:szCs w:val="24"/>
        </w:rPr>
        <w:t xml:space="preserve">Second</w:t>
      </w:r>
      <w:r>
        <w:rPr>
          <w:rFonts w:ascii="Times New Roman" w:cs="Times New Roman" w:eastAsia="Times New Roman" w:hAnsi="Times New Roman"/>
          <w:b w:val="false"/>
          <w:bCs w:val="false"/>
          <w:i w:val="false"/>
          <w:iCs w:val="false"/>
          <w:caps w:val="false"/>
          <w:sz w:val="24"/>
          <w:szCs w:val="24"/>
        </w:rPr>
        <w:t xml:space="preserve">, the Section 16(4) allegation itself no longer survives: Section 16(5), inserted with retrospective effect from 1 July 2017, allows credit for FY 2017-18 to 2020-21 availed in any return filed up to 30 November 2021. The ledger ought to be unblocked forthwith.</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w:t>
      </w:r>
      <w:r>
        <w:rPr>
          <w:rFonts w:ascii="Times New Roman" w:cs="Times New Roman" w:eastAsia="Times New Roman" w:hAnsi="Times New Roman"/>
          <w:b w:val="false"/>
          <w:bCs w:val="false"/>
          <w:i w:val="false"/>
          <w:iCs w:val="false"/>
          <w:caps w:val="false"/>
          <w:sz w:val="24"/>
          <w:szCs w:val="24"/>
        </w:rPr>
        <w:t xml:space="preserve">The Department issued a Show Cause Notice dated [____] alleging contravention of Section 16(4) — that credit of Rs. [____] was availed after the September of the following financial year. There is no allegation that the supplies were not received, that the invoices were not genuine, or that the suppliers did not exist or did not pay the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blocking. </w:t>
      </w:r>
      <w:r>
        <w:rPr>
          <w:rFonts w:ascii="Times New Roman" w:cs="Times New Roman" w:eastAsia="Times New Roman" w:hAnsi="Times New Roman"/>
          <w:b w:val="false"/>
          <w:bCs w:val="false"/>
          <w:i w:val="false"/>
          <w:iCs w:val="false"/>
          <w:caps w:val="false"/>
          <w:sz w:val="24"/>
          <w:szCs w:val="24"/>
        </w:rPr>
        <w:t xml:space="preserve">By communication dated [____], the Department blocked the Company’s Electronic Credit Ledger under Rule 86A in the amount of Rs. [____], without communicating any specific reasons.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w:t>
      </w:r>
      <w:r>
        <w:rPr>
          <w:rFonts w:ascii="Times New Roman" w:cs="Times New Roman" w:eastAsia="Times New Roman" w:hAnsi="Times New Roman"/>
          <w:b w:val="false"/>
          <w:bCs w:val="false"/>
          <w:i w:val="false"/>
          <w:iCs w:val="false"/>
          <w:caps w:val="false"/>
          <w:sz w:val="24"/>
          <w:szCs w:val="24"/>
        </w:rPr>
        <w:t xml:space="preserve">The credit pertains to FY [2017-18 / 2018-19 / 2019-20 / 2020-21] and was availed in a Form GSTR-3B filed on or before 30 November 2021.</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A Section 16(4) timing allegation is outside the enumerated conditions of Rule 86A</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86A(1) permits the blocking of credit only where the authorised officer, having reasons to believe that the credit ‘has been fraudulently availed or is ineligible’, finds that the case falls within its enumerated clauses — credit availed on invoices of a registered person found non-existent or not conducting business from the registered place; credit availed without receipt of goods or services; credit availed on invoices the tax on which has not been paid to the Government; or availment without possession of the prescribed documents. The rule is a closed list of fraud-type and ineligibility-type conditions going to the genuineness of the credit. An allegation that genuine credit was availed beyond the Section 16(4) time limit impugns only the </w:t>
      </w:r>
      <w:r>
        <w:rPr>
          <w:rFonts w:ascii="Times New Roman" w:cs="Times New Roman" w:eastAsia="Times New Roman" w:hAnsi="Times New Roman"/>
          <w:b w:val="false"/>
          <w:bCs w:val="false"/>
          <w:i/>
          <w:iCs/>
          <w:caps w:val="false"/>
          <w:sz w:val="24"/>
          <w:szCs w:val="24"/>
        </w:rPr>
        <w:t xml:space="preserve">timing</w:t>
      </w:r>
      <w:r>
        <w:rPr>
          <w:rFonts w:ascii="Times New Roman" w:cs="Times New Roman" w:eastAsia="Times New Roman" w:hAnsi="Times New Roman"/>
          <w:b w:val="false"/>
          <w:bCs w:val="false"/>
          <w:i w:val="false"/>
          <w:iCs w:val="false"/>
          <w:caps w:val="false"/>
          <w:sz w:val="24"/>
          <w:szCs w:val="24"/>
        </w:rPr>
        <w:t xml:space="preserve"> of availment; it falls within none of the enumerated clauses. The blocking is therefore beyond the authority of Rule 86A and void. The exercise of the power also fails the standards laid down in </w:t>
      </w:r>
      <w:r>
        <w:rPr>
          <w:rFonts w:ascii="Times New Roman" w:cs="Times New Roman" w:eastAsia="Times New Roman" w:hAnsi="Times New Roman"/>
          <w:b w:val="false"/>
          <w:bCs w:val="false"/>
          <w:i/>
          <w:iCs/>
          <w:caps w:val="false"/>
          <w:sz w:val="24"/>
          <w:szCs w:val="24"/>
        </w:rPr>
        <w:t xml:space="preserve">K-9 Enterprises v. State of Karnataka</w:t>
      </w:r>
      <w:r>
        <w:rPr>
          <w:rFonts w:ascii="Times New Roman" w:cs="Times New Roman" w:eastAsia="Times New Roman" w:hAnsi="Times New Roman"/>
          <w:b w:val="false"/>
          <w:bCs w:val="false"/>
          <w:i w:val="false"/>
          <w:iCs w:val="false"/>
          <w:caps w:val="false"/>
          <w:sz w:val="24"/>
          <w:szCs w:val="24"/>
        </w:rPr>
        <w:t xml:space="preserve">, Karnataka HC (DB), W.A. No. 100425 of 2023, 02.04.2024 (SLP dismissed by the Supreme Court on 16.05.2025, on merits and for delay, [2025] 174 taxmann.com 701) — independent, recorded reasons to believe and a pre-decisional hearing — and in </w:t>
      </w:r>
      <w:r>
        <w:rPr>
          <w:rFonts w:ascii="Times New Roman" w:cs="Times New Roman" w:eastAsia="Times New Roman" w:hAnsi="Times New Roman"/>
          <w:b w:val="false"/>
          <w:bCs w:val="false"/>
          <w:i/>
          <w:iCs/>
          <w:caps w:val="false"/>
          <w:sz w:val="24"/>
          <w:szCs w:val="24"/>
        </w:rPr>
        <w:t xml:space="preserve">Samay Alloys India Pvt. Ltd. v. State of Gujarat</w:t>
      </w:r>
      <w:r>
        <w:rPr>
          <w:rFonts w:ascii="Times New Roman" w:cs="Times New Roman" w:eastAsia="Times New Roman" w:hAnsi="Times New Roman"/>
          <w:b w:val="false"/>
          <w:bCs w:val="false"/>
          <w:i w:val="false"/>
          <w:iCs w:val="false"/>
          <w:caps w:val="false"/>
          <w:sz w:val="24"/>
          <w:szCs w:val="24"/>
        </w:rPr>
        <w:t xml:space="preserve">, Gujarat HC, 2022 (2) TMI 843 [VERIFY], and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24.09.2024 (negative-blocking bar affirmed by the Supreme Court on 17.05.2025 and 09.07.2025), on the strict confines of the rule.</w:t>
      </w:r>
    </w:p>
    <w:p>
      <w:pPr>
        <w:pStyle w:val="Heading2"/>
        <w:spacing w:after="140" w:before="200"/>
      </w:pPr>
      <w:r>
        <w:rPr>
          <w:rFonts w:ascii="Times New Roman" w:cs="Times New Roman" w:eastAsia="Times New Roman" w:hAnsi="Times New Roman"/>
          <w:b/>
          <w:bCs/>
          <w:sz w:val="24"/>
          <w:szCs w:val="24"/>
        </w:rPr>
        <w:t xml:space="preserve">Submission 2: The Section 16(4) allegation does not survive the retrospective Section 16(5)</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16(5), inserted by the Finance (No. 2) Act, 2024 with retrospective effect from 1 July 2017 [VERIFY], allows input tax credit for invoices or debit notes pertaining to FY 2017-18 to 2020-21 if availed in any return in Form GSTR-3B filed up to 30 November 2021, notwithstanding Section 16(4). The Company’s credit was so availed. The Board’s Circular No. 237/31/2024-GST dated 15.10.2024 [VERIFY] directs that this relief be given effect in pending proceedings. The very foundation of the SCN — and hence of the blocking — has been removed by Parliament; nothing remains to protect by a Rule 86A restriction.</w:t>
      </w:r>
    </w:p>
    <w:p>
      <w:pPr>
        <w:pStyle w:val="Heading2"/>
        <w:spacing w:after="140" w:before="200"/>
      </w:pPr>
      <w:r>
        <w:rPr>
          <w:rFonts w:ascii="Times New Roman" w:cs="Times New Roman" w:eastAsia="Times New Roman" w:hAnsi="Times New Roman"/>
          <w:b/>
          <w:bCs/>
          <w:sz w:val="24"/>
          <w:szCs w:val="24"/>
        </w:rPr>
        <w:t xml:space="preserve">Submission 3: In any event, the blocking lapses after one year and cannot serve as security for an unadjudicated demand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86A(3) provides that the restriction ceases to have effect on the expiry of one year from imposition. Further, Rule 86A is a temporary, protective measure, not a mode of securing or recovering an unadjudicated (and now unsustainable) demand. The continued blocking serves no purpose the rule recognises and ought to be lifted forthwith.</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Electronic Credit Ledger of the Company forthwith, the blocking being outside the enumerated conditions of Rule 86A;</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Section 16(4) allegation does not survive the retrospective Section 16(5) read with Circular No. 237/31/2024-GST, and DROP the proceeding to that extent;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any blocking cannot, in any event, continue beyond one year under Rule 86A(3);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16(4) and 16(5) of the CGST Act, 2017 (Section 16(5) inserted by the Finance (No. 2) Act, 2024, w.r.e.f. 01.07.2017); Rule 86A (including sub-rules (1) and (3)) of the CGST Rules, 2017.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237/31/2024-GST dated 15.10.2024.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(SLP dismissed on merits and for delay, 16.05.2025, [2025] 174 taxmann.com 701); Samay Alloys India Pvt. Ltd. v. State of Gujarat, Gujarat HC, R/SCA 18059/2021, 03.02.2022, 2022 (2) TMI 843; Best Crop Science Pvt. Ltd. v. Principal Commissioner, CGST, Delhi HC, W.P.(C) 10980 of 2024 (batch), 24.09.2024 (negative-blocking bar affirmed by SC dismissal dated 09.07.2025).</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2026-06-13T08:26:23.697Z</dcterms:created>
  <dcterms:modified xsi:type="dcterms:W3CDTF">2026-06-13T08:26:23.697Z</dcterms:modified>
</cp:coreProperties>
</file>

<file path=docProps/custom.xml><?xml version="1.0" encoding="utf-8"?>
<Properties xmlns="http://schemas.openxmlformats.org/officeDocument/2006/custom-properties" xmlns:vt="http://schemas.openxmlformats.org/officeDocument/2006/docPropsVTypes"/>
</file>