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for release of the provisional attachment of the Company’s bank account effected in Form GST DRC-22 under Section 83, the period of one year from the date of the order having expired and the attachment having ceased to have effect by operation of Section 83(2)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Provisional attachment in Form GST DRC-22 dated [____]; bank account No. [____] with [Bank].</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provisions reproduced in the source (Section 83 as substituted, and Rule 159) are carried forward. Authorities are marked [VERIFY] for a final check before filing.</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attached the Company’s bank account under Section 83 by Form GST DRC-22 dated [____]. More than one year has since elapsed. Section 83(2) provides in mandatory terms that ‘every such provisional attachment shall cease to have effect after the expiry of a period of one year from the date of the order made under sub-section (1)’. The attachment has therefore </w:t>
      </w:r>
      <w:r>
        <w:rPr>
          <w:rFonts w:ascii="Times New Roman" w:cs="Times New Roman" w:eastAsia="Times New Roman" w:hAnsi="Times New Roman"/>
          <w:b/>
          <w:bCs/>
          <w:i w:val="false"/>
          <w:iCs w:val="false"/>
          <w:caps w:val="false"/>
          <w:sz w:val="24"/>
          <w:szCs w:val="24"/>
        </w:rPr>
        <w:t xml:space="preserve">ceased to have effect by operation of law</w:t>
      </w:r>
      <w:r>
        <w:rPr>
          <w:rFonts w:ascii="Times New Roman" w:cs="Times New Roman" w:eastAsia="Times New Roman" w:hAnsi="Times New Roman"/>
          <w:b w:val="false"/>
          <w:bCs w:val="false"/>
          <w:i w:val="false"/>
          <w:iCs w:val="false"/>
          <w:caps w:val="false"/>
          <w:sz w:val="24"/>
          <w:szCs w:val="24"/>
        </w:rPr>
        <w:t xml:space="preserve"> — no fresh order of release is needed to bring about the cessation, though an intimation to the bank is required to give it practical effect. The Company requests that the cessation be recorded, that the bank be intimated in Form GST DRC-23 forthwith, and that the operation of the account be restored.</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maintains its account No. [____] with [Bank], [Branch].</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and the lapse of one year. </w:t>
      </w:r>
      <w:r>
        <w:rPr>
          <w:rFonts w:ascii="Times New Roman" w:cs="Times New Roman" w:eastAsia="Times New Roman" w:hAnsi="Times New Roman"/>
          <w:b w:val="false"/>
          <w:bCs w:val="false"/>
          <w:i w:val="false"/>
          <w:iCs w:val="false"/>
          <w:caps w:val="false"/>
          <w:sz w:val="24"/>
          <w:szCs w:val="24"/>
        </w:rPr>
        <w:t xml:space="preserve">By Form GST DRC-22 dated [____], the account was provisionally attached under Section 83 in connection with [allegation / proceeding]. One year from the date of the order expired on [____]. The attachment nonetheless continues to be operated by the bank for want of an intimation of release.</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attachment has ceased automatically under Section 83(2)</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83(2) provides:</w:t>
      </w:r>
    </w:p>
    <w:p>
      <w:pPr>
        <w:spacing w:after="140" w:line="264"/>
        <w:ind w:left="720" w:right="360"/>
        <w:jc w:val="both"/>
      </w:pPr>
      <w:r>
        <w:rPr>
          <w:rFonts w:ascii="Times New Roman" w:cs="Times New Roman" w:eastAsia="Times New Roman" w:hAnsi="Times New Roman"/>
          <w:i/>
          <w:iCs/>
          <w:sz w:val="22"/>
          <w:szCs w:val="22"/>
        </w:rPr>
        <w:t xml:space="preserve">(2) Every such provisional attachment shall cease to have effect after the expiry of a period of one year from the date of the order made under sub-section (1).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provision is self-operative: on the expiry of one year, the attachment ceases to have effect by force of the statute, without more. There is no power to extend, renew or continue the attachment beyond that period (any fresh attachment requiring a fresh and independent exercise of the power, satisfying all its conditions). The continued freezing of the account after the statutory cessation is without authority of law.</w:t>
      </w:r>
    </w:p>
    <w:p>
      <w:pPr>
        <w:pStyle w:val="Heading2"/>
        <w:spacing w:after="140" w:before="200"/>
      </w:pPr>
      <w:r>
        <w:rPr>
          <w:rFonts w:ascii="Times New Roman" w:cs="Times New Roman" w:eastAsia="Times New Roman" w:hAnsi="Times New Roman"/>
          <w:b/>
          <w:bCs/>
          <w:sz w:val="24"/>
          <w:szCs w:val="24"/>
        </w:rPr>
        <w:t xml:space="preserve">Submission 2: The Department must intimate the bank and restore the account — Rule 159 / Form GST DRC-23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give practical effect to the statutory cessation, the Commissioner ought to issue the intimation of release in Form GST DRC-23 to the bank forthwith. The Board’s guidelines on provisional attachment dated 23.02.2021 [VERIFY] themselves require the Commissioner to keep attachments under review and to ensure their timely release. Every day of continued freeze beyond the one-year mark inflicts injury on the Company’s business without any legal foundation, and exposes the continued restraint to challenge as wholly without jurisdiction, as explained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on the strictly conditioned, draconian character of the Section 83 power.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provisional attachment effected by Form GST DRC-22 dated [____] has ceased to have effect under Section 83(2) on the expiry of one year;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ISSUE the intimation of release in Form GST DRC-23 to [Bank] forthwith and RESTORE the operation of account No. [____];</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REFRAIN from any fresh attachment except by a fresh, independent and lawful exercise of the power satisfying all the conditions of Section 83;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(including sub-section (2)) of the CGST Act, 2017; Rule 159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CBIC guidelines on provisional attachment dated 23.02.2021 (F. No. CBEC-20/16/05/2021-GST/359); Radha Krishan Industries v. State of Himachal Pradesh, (2021) 6 SCC 771, CA 1155/2021,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2026-06-13T08:26:23.866Z</dcterms:created>
  <dcterms:modified xsi:type="dcterms:W3CDTF">2026-06-13T08:26:23.866Z</dcterms:modified>
</cp:coreProperties>
</file>

<file path=docProps/custom.xml><?xml version="1.0" encoding="utf-8"?>
<Properties xmlns="http://schemas.openxmlformats.org/officeDocument/2006/custom-properties" xmlns:vt="http://schemas.openxmlformats.org/officeDocument/2006/docPropsVTypes"/>
</file>