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under Rule 159(5) to the provisional attachment of the Company’s current account under Section 83, effected after the conclusion of the search under Section 67 and in the absence of any pending / consequential proceeding, and request for release — DRC-22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Search under Section 67 dated [____] (panchnama dated [____]); provisional attachment communicated by [Bank] on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facts (a search under Section 67 concluded with a panchnama; the subsequent attachment of the Company’s current account; and the absence of any notice under Section 73/74) are reproduced from the source, which also reproduces Section 83 and Rule 159(5).</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After the search of the Company’s premises under Section 67 was conducted and </w:t>
      </w:r>
      <w:r>
        <w:rPr>
          <w:rFonts w:ascii="Times New Roman" w:cs="Times New Roman" w:eastAsia="Times New Roman" w:hAnsi="Times New Roman"/>
          <w:b/>
          <w:bCs/>
          <w:i w:val="false"/>
          <w:iCs w:val="false"/>
          <w:caps w:val="false"/>
          <w:sz w:val="24"/>
          <w:szCs w:val="24"/>
        </w:rPr>
        <w:t xml:space="preserve">concluded</w:t>
      </w:r>
      <w:r>
        <w:rPr>
          <w:rFonts w:ascii="Times New Roman" w:cs="Times New Roman" w:eastAsia="Times New Roman" w:hAnsi="Times New Roman"/>
          <w:b w:val="false"/>
          <w:bCs w:val="false"/>
          <w:i w:val="false"/>
          <w:iCs w:val="false"/>
          <w:caps w:val="false"/>
          <w:sz w:val="24"/>
          <w:szCs w:val="24"/>
        </w:rPr>
        <w:t xml:space="preserve"> — the panchnama drawn, signed and furnished — the Department attached the Company’s current account under Section 83. No notice under Section 73 or 74 has been issued, and no proceeding is pending against the Company. The attachment cannot stand: the power under Section 83 is conditioned on the existence of proceedings, on a tangible-material-based opinion that attachment is necessary to protect the revenue, and on proportionality. A search that has concluded, without any consequential proceeding having been initiated, supplies none of these foundations. The Company files this objection under Rule 159(5) and seeks release.</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maintains its current account No. [____] with [SBI / Bank].</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search and its conclusion. </w:t>
      </w:r>
      <w:r>
        <w:rPr>
          <w:rFonts w:ascii="Times New Roman" w:cs="Times New Roman" w:eastAsia="Times New Roman" w:hAnsi="Times New Roman"/>
          <w:b w:val="false"/>
          <w:bCs w:val="false"/>
          <w:i w:val="false"/>
          <w:iCs w:val="false"/>
          <w:caps w:val="false"/>
          <w:sz w:val="24"/>
          <w:szCs w:val="24"/>
        </w:rPr>
        <w:t xml:space="preserve">A search under Section 67 was conducted at the Company’s premises on [____] by the Department’s officers; it concluded the same day / on [____], and the panchnama was drawn, signed and a copy furnished to the Company.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attachment. </w:t>
      </w:r>
      <w:r>
        <w:rPr>
          <w:rFonts w:ascii="Times New Roman" w:cs="Times New Roman" w:eastAsia="Times New Roman" w:hAnsi="Times New Roman"/>
          <w:b w:val="false"/>
          <w:bCs w:val="false"/>
          <w:i w:val="false"/>
          <w:iCs w:val="false"/>
          <w:caps w:val="false"/>
          <w:sz w:val="24"/>
          <w:szCs w:val="24"/>
        </w:rPr>
        <w:t xml:space="preserve">Thereafter, the Company learnt from its bank on [____] that the Department had ordered the attachment / debit-freeze of its current account under Section 83. No notice under Section 73 or 74 has been issued, and no proceeding is pending against the Company.</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jurisdictional foundation of Section 83 is absent — the search stands concluded and no proceeding is pending</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On the text of Section 83 reproduced in the attachment order / relied on by the Department — which conditions the power on the pendency of proceedings under Sections 62, 63, 64, 67, 73 or 74 — the foundation is absent: the proceedings under Section 67 concluded with the drawing of the panchnama, and no proceeding under Section 73/74 has been initiated. The Hon’ble Supreme Court 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 2021 SCC OnLine SC 334, Civil Appeal No. 1155 of 2021, decided 20.04.2021, held the existence of pending proceedings to be a sine qua non, the power being draconian and its conditions strictly construed and justiciable. An attachment resting on a spent search, with nothing pending, is without jurisdiction.</w:t>
      </w:r>
    </w:p>
    <w:p>
      <w:pPr>
        <w:spacing w:after="120" w:before="120"/>
        <w:jc w:val="both"/>
      </w:pPr>
      <w:r>
        <w:rPr>
          <w:rFonts w:ascii="Times New Roman" w:cs="Times New Roman" w:eastAsia="Times New Roman" w:hAnsi="Times New Roman"/>
          <w:b/>
          <w:bCs/>
          <w:i/>
          <w:iCs/>
          <w:sz w:val="20"/>
          <w:szCs w:val="20"/>
        </w:rPr>
        <w:t xml:space="preserve">Note (for review): </w:t>
      </w:r>
      <w:r>
        <w:rPr>
          <w:rFonts w:ascii="Times New Roman" w:cs="Times New Roman" w:eastAsia="Times New Roman" w:hAnsi="Times New Roman"/>
          <w:i/>
          <w:iCs/>
          <w:sz w:val="20"/>
          <w:szCs w:val="20"/>
        </w:rPr>
        <w:t xml:space="preserve">For attachments made on or after 01.01.2022, Section 83(1) stands substituted (Finance Act, 2021; Notification No. 39/2021-Central Tax dated 21.12.2021) to permit attachment ‘after the initiation of any proceeding under Chapter XII, Chapter XIV or Chapter XV’. Even on the substituted text, a search that has concluded without the initiation of any consequential proceeding, and without a tangible-material-based opinion of necessity, does not sustain a continuing attachment; the submissions below apply with equal force. Confirm which text governs the present attachment by its date. [VERIFY]</w:t>
      </w:r>
    </w:p>
    <w:p>
      <w:pPr>
        <w:pStyle w:val="Heading2"/>
        <w:spacing w:after="140" w:before="200"/>
      </w:pPr>
      <w:r>
        <w:rPr>
          <w:rFonts w:ascii="Times New Roman" w:cs="Times New Roman" w:eastAsia="Times New Roman" w:hAnsi="Times New Roman"/>
          <w:b/>
          <w:bCs/>
          <w:sz w:val="24"/>
          <w:szCs w:val="24"/>
        </w:rPr>
        <w:t xml:space="preserve">Submission 2: No tangible material, no recorded opinion of necessity, and no proportionality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where the power is otherwise available, it may be exercised only on the Commissioner’s opinion, formed on tangible material, that attachment is </w:t>
      </w:r>
      <w:r>
        <w:rPr>
          <w:rFonts w:ascii="Times New Roman" w:cs="Times New Roman" w:eastAsia="Times New Roman" w:hAnsi="Times New Roman"/>
          <w:b w:val="false"/>
          <w:bCs w:val="false"/>
          <w:i/>
          <w:iCs/>
          <w:caps w:val="false"/>
          <w:sz w:val="24"/>
          <w:szCs w:val="24"/>
        </w:rPr>
        <w:t xml:space="preserve">necessary</w:t>
      </w:r>
      <w:r>
        <w:rPr>
          <w:rFonts w:ascii="Times New Roman" w:cs="Times New Roman" w:eastAsia="Times New Roman" w:hAnsi="Times New Roman"/>
          <w:b w:val="false"/>
          <w:bCs w:val="false"/>
          <w:i w:val="false"/>
          <w:iCs w:val="false"/>
          <w:caps w:val="false"/>
          <w:sz w:val="24"/>
          <w:szCs w:val="24"/>
        </w:rPr>
        <w:t xml:space="preserve"> to protect the revenue, and the measure must be proportionate (</w:t>
      </w:r>
      <w:r>
        <w:rPr>
          <w:rFonts w:ascii="Times New Roman" w:cs="Times New Roman" w:eastAsia="Times New Roman" w:hAnsi="Times New Roman"/>
          <w:b w:val="false"/>
          <w:bCs w:val="false"/>
          <w:i/>
          <w:iCs/>
          <w:caps w:val="false"/>
          <w:sz w:val="24"/>
          <w:szCs w:val="24"/>
        </w:rPr>
        <w:t xml:space="preserve">Radha Krishan Industries</w:t>
      </w:r>
      <w:r>
        <w:rPr>
          <w:rFonts w:ascii="Times New Roman" w:cs="Times New Roman" w:eastAsia="Times New Roman" w:hAnsi="Times New Roman"/>
          <w:b w:val="false"/>
          <w:bCs w:val="false"/>
          <w:i w:val="false"/>
          <w:iCs w:val="false"/>
          <w:caps w:val="false"/>
          <w:sz w:val="24"/>
          <w:szCs w:val="24"/>
        </w:rPr>
        <w:t xml:space="preserve">, supra). Here, no demand has been quantified, no notice issued, and no material communicated; the Company’s principal operating account has simply been frozen in the wake of a concluded search. The freezing halts payments to suppliers, employees and statutory dues — including the Company’s ongoing taxes — and is the very kind of disproportionate, pre-emptive attachment the Supreme Court disapproved.</w:t>
      </w:r>
    </w:p>
    <w:p>
      <w:pPr>
        <w:pStyle w:val="Heading2"/>
        <w:spacing w:after="140" w:before="200"/>
      </w:pPr>
      <w:r>
        <w:rPr>
          <w:rFonts w:ascii="Times New Roman" w:cs="Times New Roman" w:eastAsia="Times New Roman" w:hAnsi="Times New Roman"/>
          <w:b/>
          <w:bCs/>
          <w:sz w:val="24"/>
          <w:szCs w:val="24"/>
        </w:rPr>
        <w:t xml:space="preserve">Submission 3: Objection under Rule 159(5); release in Form GST DRC-23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files this objection within the time allowed by Rule 159(5) and seeks an opportunity of being heard and an order of release in Form GST DRC-23. Should the Department, on material, initiate a lawful proceeding hereafter, any fresh attachment must independently satisfy all the conditions of Section 83; the present attachment, lacking them, must go. In any event, the attachment cannot survive beyond one year (Section 83(2)).</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Commissioner /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provisional attachment of the Company’s current account, the search under Section 67 having concluded and no proceeding being pending against the Company;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conditions of Section 83 — pending / initiated proceedings, a tangible-material-based opinion of necessity, and proportionality — are not satisfied;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a hearing on this objection under Rule 159(5) and pass an order of release in Form GST DRC-23;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67 and 83 (including sub-sections (1) and (2)) of the CGST Act, 2017 (Section 83(1) as substituted by the Finance Act, 2021 w.e.f. 01.01.2022); Rule 159 (including sub-rule (5)) of the CGST Rules, 2017 (Forms GST DRC-22 and DRC-23).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Radha Krishan Industries v. State of Himachal Pradesh, Supreme Court, (2021) 6 SCC 771 / 2021 SCC OnLine SC 334, Civil Appeal No. 1155 of 2021, 20.04.2021.</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2026-06-13T08:26:23.891Z</dcterms:created>
  <dcterms:modified xsi:type="dcterms:W3CDTF">2026-06-13T08:26:23.891Z</dcterms:modified>
</cp:coreProperties>
</file>

<file path=docProps/custom.xml><?xml version="1.0" encoding="utf-8"?>
<Properties xmlns="http://schemas.openxmlformats.org/officeDocument/2006/custom-properties" xmlns:vt="http://schemas.openxmlformats.org/officeDocument/2006/docPropsVTypes"/>
</file>