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Superintendent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Anti-Evasion / Range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summons issued under Section 70 of the CGST Act, 2017 — confirmation of co-operation, request for the list of documents and a reasonable date, and submissions on the conduct of the proceedings — Summons Reference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Summons under Section 70, Reference No. [____]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instruction and case authority is marked [VERIFY] for a final check before filing. The extracts of Section 70 reproduced in the source are preserved in substance. This is a co-operation letter: it confirms compliance while placing on record the safeguards governing summons proceedings.</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has received the summons under Section 70 and places on record, at the outset, its full co-operation with the inquiry. By this letter the Company: confirms attendance; requests a specific list of the documents and information required, and a reasonable date for compliance; and respectfully places on record the safeguards that govern summons proceedings under the Board’s own instructions — so that the inquiry may proceed fairly and efficiently for both sides.</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[____], a regular filer of its returns.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summons. </w:t>
      </w:r>
      <w:r>
        <w:rPr>
          <w:rFonts w:ascii="Times New Roman" w:cs="Times New Roman" w:eastAsia="Times New Roman" w:hAnsi="Times New Roman"/>
          <w:b w:val="false"/>
          <w:bCs w:val="false"/>
          <w:i w:val="false"/>
          <w:iCs w:val="false"/>
          <w:caps w:val="false"/>
          <w:sz w:val="24"/>
          <w:szCs w:val="24"/>
        </w:rPr>
        <w:t xml:space="preserve">The summons under Section 70, Reference No. [____] dated [____], requires the attendance of [the authorised person] on [date] to give evidence / produce documents in the inquiry stated therein. Section 70(1) confers the power of a civil court in this behalf, and Section 70(2) deems the inquiry a judicial proceeding within the meaning of Sections 193 and 228 of the Indian Penal Code — provisions of which the Company is conscious and respectful.</w:t>
      </w:r>
    </w:p>
    <w:p>
      <w:pPr>
        <w:pStyle w:val="Heading1"/>
        <w:spacing w:after="160" w:before="260"/>
      </w:pPr>
      <w:r>
        <w:rPr>
          <w:rFonts w:ascii="Times New Roman" w:cs="Times New Roman" w:eastAsia="Times New Roman" w:hAnsi="Times New Roman"/>
          <w:b/>
          <w:bCs/>
          <w:caps/>
          <w:sz w:val="26"/>
          <w:szCs w:val="26"/>
        </w:rPr>
        <w:t xml:space="preserve">Submissions / Requests</w:t>
      </w:r>
    </w:p>
    <w:p>
      <w:pPr>
        <w:pStyle w:val="Heading2"/>
        <w:spacing w:after="140" w:before="200"/>
      </w:pPr>
      <w:r>
        <w:rPr>
          <w:rFonts w:ascii="Times New Roman" w:cs="Times New Roman" w:eastAsia="Times New Roman" w:hAnsi="Times New Roman"/>
          <w:b/>
          <w:bCs/>
          <w:sz w:val="24"/>
          <w:szCs w:val="24"/>
        </w:rPr>
        <w:t xml:space="preserve">Request 1: A specific list of documents, and a reasonable date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summons does not enumerate the specific documents and information required. So that the appearance is productive, the Company requests a written list of the documents / details sought, and a date allowing reasonable time to compile them. The Company notes that, under the Board’s guidelines on the issuance of summons — Instruction No. 03/2022-23 (GST-Investigation) dated 17.08.2022 [VERIFY] — summons are to be issued as a last resort with the reasons recorded, are ordinarily not to be resorted to for documents and statutory records that are available on the common portal (returns, registrations and the like, which the Department may download directly), and the summoned person is to be informed of the broad subject matter. The Company will produce all non-portal records sought, on the list being furnished.</w:t>
      </w:r>
    </w:p>
    <w:p>
      <w:pPr>
        <w:pStyle w:val="Heading2"/>
        <w:spacing w:after="140" w:before="200"/>
      </w:pPr>
      <w:r>
        <w:rPr>
          <w:rFonts w:ascii="Times New Roman" w:cs="Times New Roman" w:eastAsia="Times New Roman" w:hAnsi="Times New Roman"/>
          <w:b/>
          <w:bCs/>
          <w:sz w:val="24"/>
          <w:szCs w:val="24"/>
        </w:rPr>
        <w:t xml:space="preserve">Request 2: Conduct of the recording of any statement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requests that any statement be recorded during office hours, that the deponent be permitted to read the statement before signing and be furnished a copy, and that the proceedings be conducted with the courtesy the Board’s instructions enjoin. The Company further requests that its authorised representative / advocate be permitted to remain present at a visible distance during the examination, consistently with the settled practice — </w:t>
      </w:r>
      <w:r>
        <w:rPr>
          <w:rFonts w:ascii="Times New Roman" w:cs="Times New Roman" w:eastAsia="Times New Roman" w:hAnsi="Times New Roman"/>
          <w:b w:val="false"/>
          <w:bCs w:val="false"/>
          <w:i/>
          <w:iCs/>
          <w:caps w:val="false"/>
          <w:sz w:val="24"/>
          <w:szCs w:val="24"/>
        </w:rPr>
        <w:t xml:space="preserve">Poolpandi v. Superintendent, Central Excise</w:t>
      </w:r>
      <w:r>
        <w:rPr>
          <w:rFonts w:ascii="Times New Roman" w:cs="Times New Roman" w:eastAsia="Times New Roman" w:hAnsi="Times New Roman"/>
          <w:b w:val="false"/>
          <w:bCs w:val="false"/>
          <w:i w:val="false"/>
          <w:iCs w:val="false"/>
          <w:caps w:val="false"/>
          <w:sz w:val="24"/>
          <w:szCs w:val="24"/>
        </w:rPr>
        <w:t xml:space="preserve">, (1992) 3 SCC 259, holds that there is no right to the presence of a lawyer during the examination itself, as moderated in </w:t>
      </w:r>
      <w:r>
        <w:rPr>
          <w:rFonts w:ascii="Times New Roman" w:cs="Times New Roman" w:eastAsia="Times New Roman" w:hAnsi="Times New Roman"/>
          <w:b w:val="false"/>
          <w:bCs w:val="false"/>
          <w:i/>
          <w:iCs/>
          <w:caps w:val="false"/>
          <w:sz w:val="24"/>
          <w:szCs w:val="24"/>
        </w:rPr>
        <w:t xml:space="preserve">Senior Intelligence Officer, DRI v. Jugal Kishore Samra</w:t>
      </w:r>
      <w:r>
        <w:rPr>
          <w:rFonts w:ascii="Times New Roman" w:cs="Times New Roman" w:eastAsia="Times New Roman" w:hAnsi="Times New Roman"/>
          <w:b w:val="false"/>
          <w:bCs w:val="false"/>
          <w:i w:val="false"/>
          <w:iCs w:val="false"/>
          <w:caps w:val="false"/>
          <w:sz w:val="24"/>
          <w:szCs w:val="24"/>
        </w:rPr>
        <w:t xml:space="preserve">, (2011) 12 SCC 362, permitting counsel to remain at a visible, though not audible, distance. [Cite per the jurisdictional practice.]</w:t>
      </w:r>
    </w:p>
    <w:p>
      <w:pPr>
        <w:pStyle w:val="Heading2"/>
        <w:spacing w:after="140" w:before="200"/>
      </w:pPr>
      <w:r>
        <w:rPr>
          <w:rFonts w:ascii="Times New Roman" w:cs="Times New Roman" w:eastAsia="Times New Roman" w:hAnsi="Times New Roman"/>
          <w:b/>
          <w:bCs/>
          <w:sz w:val="24"/>
          <w:szCs w:val="24"/>
        </w:rPr>
        <w:t xml:space="preserve">Request 3: Where attendance on the appointed date is not possible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[If applicable:] The person summoned is unable to attend on the appointed date owing to [reason]. The Company requests a short adjournment to [date], and undertakes attendance on the adjourned date. This request is made bona fide and at the earliest; the Company is conscious that absence without sufficient cause carries consequences in law, and seeks only a reasonable accommodation.</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FURNISH a specific written list of the documents and information required, and FIX a reasonable date for production / attendance;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CONDUCT the proceedings in accordance with Instruction No. 03/2022-23 (GST-Investigation), including the recording of any statement during office hours, with a copy to the deponent;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PERMIT the Company’s authorised representative / advocate to remain present at a visible distance during any examination;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TAKE on record the Company’s assurance of full co-operation, and PASS such further directions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70 of the CGST Act, 2017 (read with Sections 193 and 228 of the Indian Penal Code); Section 67(5) of the CGST Act, 2017 (copies of seized documents, where applicable).</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Instruction No. 03/2022-23 (GST-Investigation) dated 17.08.2022 (guidelines on the issuance of summons).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Poolpandi v. Superintendent, Central Excise, (1992) 3 SCC 259; Senior Intelligence Officer, DRI v. Jugal Kishore Samra, (2011) 12 SCC 362 (counsel at a visible, not audible, distance).</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2026-06-13T08:30:43.288Z</dcterms:created>
  <dcterms:modified xsi:type="dcterms:W3CDTF">2026-06-13T08:30:43.288Z</dcterms:modified>
</cp:coreProperties>
</file>

<file path=docProps/custom.xml><?xml version="1.0" encoding="utf-8"?>
<Properties xmlns="http://schemas.openxmlformats.org/officeDocument/2006/custom-properties" xmlns:vt="http://schemas.openxmlformats.org/officeDocument/2006/docPropsVTypes"/>
</file>