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To,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The Learned State Tax Officer / Proper Officer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[Designation, Circle / Jurisdiction]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[Office Address]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Through: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the common portal and by e-mail / hand delivery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In the matter of: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M/s Noticedesk Technologies Private Limited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  |  GSTIN [____________]  |  [Registered Address]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Reply to the communication seeking verification of the transitional credit carried forward in Form GST TRAN-1 under Section 140 — objection to the form of the communication, with co-operation on the substance under the Board’s verification framework — communication dated [____].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Ref: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Communication dated [____] seeking the purchase ledger / erstwhile credit ledger for verification of TRAN-1 credit.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Respected Sir / Madam,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Particulars in bold square brackets are placeholders. Every circular and case authority is marked [VERIFY] for a final check before filing. The facts (a communication seeking ledgers for TRAN-1 verification, citing no Act and no section) are reproduced from the source. The Madras High Court decision relied on in the source is preserved as a placeholder for its citation to be completed. [VERIFY]</w:t>
      </w:r>
    </w:p>
    <w:p>
      <w:pPr>
        <w:pStyle w:val="Heading1"/>
        <w:spacing w:after="160" w:before="2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The Company has received a communication seeking its purchase ledger and erstwhile credit ledger for verification of the transitional credit carried forward in Form GST TRAN-1. The communication cites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no Act, no section and no framework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 under which it issues. The Company objects to the form: a requisition outside the statutory machinery is not one the Act recognises. At the same time, the Company has nothing to withhold on the substance: its transitional credit is its accrued, vested credit under Section 140, and verification of TRAN-1 claims is a recognised exercise governed by the Board’s own framework. The Company therefore furnishes the documents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under protest and without prejudice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 to its objection, and requests that any verification proceed under the prescribed framework, with notice, reasons and a hearing before any adverse view.</w:t>
      </w:r>
    </w:p>
    <w:p>
      <w:pPr>
        <w:pStyle w:val="Heading1"/>
        <w:spacing w:after="160" w:before="2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The Company.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M/s Noticedesk Technologies Private Limited, GSTIN [____________], migrated from the erstwhile regime and carried forward its accrued credit in Form GST TRAN-1 under Section 140.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The communication.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By the communication dated [____], the Department seeks the purchase ledger / erstwhile credit ledger for verification of the TRAN-1 credit. The communication does not state the Act (Central or State), the section, or the framework under which it issues, and bears [no DIN].</w:t>
      </w:r>
    </w:p>
    <w:p>
      <w:pPr>
        <w:pStyle w:val="Heading1"/>
        <w:spacing w:after="160" w:before="2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Submissions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 1: Objection to the form — a requisition outside the statutory machinery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The Act provides the machinery for calling for documents and determining liability — scrutiny, audit, inspection and adjudication under Chapters XII to XV, each with its own notice, form and safeguards. A free-standing communication that cites no provision and no framework is outside that machinery and is, in law, no requisition at all; the Madras High Court has deprecated such unanchored demands [decision relied upon in the Company’s record — citation to be completed and verified]. The Company records its objection accordingly, and to the absence of a DIN (Circulars No. 122/41/2019-GST and 128/47/2019-GST [VERIFY]).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 2: On substance — the credit is a vested right, and verification must follow the Board’s framework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The transitional credit is the Company’s accrued, eligible credit under the erstwhile law, carried forward under Section 140 — a vested right that the transitional provisions preserve, as recognised by the Hon’ble Supreme Court in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4"/>
          <w:szCs w:val="24"/>
        </w:rPr>
        <w:t xml:space="preserve">Union of India v. Filco Trade Centre Pvt. Ltd.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, SLP(C) Nos. 32709-32710 of 2018, orders dated 22.07.2022 and 02.09.2022, while directing the reopening of the TRAN-1/TRAN-2 facility (window 01.10.2022 to 30.11.2022). Verification of transitional claims is governed by the Board’s framework — Circular No. 180/12/2022-GST dated 09.09.2022 [VERIFY] — under which the claim is verified on the documents, the taxpayer is heard, and a reasoned view is taken; a unilateral or roving inquiry is not contemplated. The Company requests that the verification, if undertaken, proceed under that framework.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 3: Without prejudice — the documents are furnished and co-operation is extended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Without prejudice to the objection, and in a spirit of co-operation, the Company furnishes at Annexures 1 and 2 the erstwhile returns evidencing the closing credit balance, the credit ledger, and the purchase records supporting the carried-forward credit. The Company requests that: (i) any observation adverse to the claim be communicated with reasons; (ii) the Company be heard before any view is taken; and (iii) no recovery or reversal be initiated except by due process under Sections 73/74 after such hearing.</w:t>
      </w:r>
    </w:p>
    <w:p>
      <w:pPr>
        <w:pStyle w:val="Heading1"/>
        <w:spacing w:after="160" w:before="2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The Company most respectfully prays that the Proper Officer be pleased to: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TAKE on record the Company’s objection to the form of the communication, and CONDUCT any verification of the TRAN-1 credit under the prescribed framework;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TAKE on record the documents furnished at Annexures 1 and 2, under protest and without prejudice;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COMMUNICATE any adverse observation with reasons and AFFORD the Company a hearing before any view is taken, recovery lying only by due process under Sections 73/74; and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PASS such further or other order as may be just and proper.</w:t>
      </w:r>
    </w:p>
    <w:p>
      <w:pPr>
        <w:spacing w:after="16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The Company reserves the right to file further submissions and to be heard. Nothing herein shall be construed as an admission of any kind.</w:t>
      </w:r>
    </w:p>
    <w:p>
      <w:pPr>
        <w:pStyle w:val="Heading1"/>
        <w:spacing w:after="160" w:before="2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Authorities and Provisions Relied Upon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Section 140 of the CGST Act, 2017; Rules 117–121 of the CGST Rules, 2017; Chapters XII–XV of the Act.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Union of India v. Filco Trade Centre Pvt. Ltd., Supreme Court, SLP(C) Nos. 32709-32710 of 2018, orders dated 22.07.2022 and 02.09.2022 (reopening of TRAN-1/TRAN-2); Circular No. 180/12/2022-GST dated 09.09.2022 (verification framework); Circulars No. 122/41/2019-GST dated 05.11.2019 and 128/47/2019-GST dated 23.12.2019 (DIN).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Madras High Court decision deprecating requisitions outside the statutory machinery, as relied upon in the source — citation to be completed and reporter-verified. [VERIFY]</w:t>
      </w:r>
    </w:p>
    <w:p>
      <w:pPr>
        <w:spacing w:after="20" w:before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For and on behalf of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4"/>
          <w:szCs w:val="24"/>
        </w:rPr>
        <w:t xml:space="preserve">M/s Noticedesk Technologies Private Limited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_______________________________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Authorised Signatory / Director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Place: Mumbai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Date: [____]</w:t>
      </w:r>
    </w:p>
    <w:p>
      <w:pPr>
        <w:pStyle w:val="Heading1"/>
        <w:spacing w:after="160" w:before="2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List of Annexures</w:t>
      </w:r>
    </w:p>
    <w:p>
      <w:pPr>
        <w:pStyle w:val="ListParagraph"/>
        <w:numPr>
          <w:ilvl w:val="0"/>
          <w:numId w:val="5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Annexure 1 — Erstwhile returns evidencing the closing credit balance, and the credit ledger.</w:t>
      </w:r>
    </w:p>
    <w:p>
      <w:pPr>
        <w:pStyle w:val="ListParagraph"/>
        <w:numPr>
          <w:ilvl w:val="0"/>
          <w:numId w:val="5"/>
        </w:num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4"/>
          <w:szCs w:val="24"/>
        </w:rPr>
        <w:t xml:space="preserve">Annexure 2 — Purchase records supporting the carried-forward credit; copy of Form GST TRAN-1.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2026-06-13T08:30:43.507Z</dcterms:created>
  <dcterms:modified xsi:type="dcterms:W3CDTF">2026-06-13T08:30:43.507Z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