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for supply of the documents relied upon in the Show Cause Notice — third-party statements, departmental communications and investigation reports — and for the time to reply to run from their supply, with cross-examination of the deponents — SCN in Form GST DRC-01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DRC-01 under Section 73/74,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(an SCN alleging fake-invoice ITC / other contraventions on the basis of third-party statements, communications from other officers and DGGI reports, none of which is enclosed) are reproduced from the source, as is the reliance on Sri Muniappa Steels (Madras HC).</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a demand against the Company on the strength of </w:t>
      </w:r>
      <w:r>
        <w:rPr>
          <w:rFonts w:ascii="Times New Roman" w:cs="Times New Roman" w:eastAsia="Times New Roman" w:hAnsi="Times New Roman"/>
          <w:b/>
          <w:bCs/>
          <w:i w:val="false"/>
          <w:iCs w:val="false"/>
          <w:caps w:val="false"/>
          <w:sz w:val="24"/>
          <w:szCs w:val="24"/>
        </w:rPr>
        <w:t xml:space="preserve">third-party statements, communications from other tax officers, and investigation reports</w:t>
      </w:r>
      <w:r>
        <w:rPr>
          <w:rFonts w:ascii="Times New Roman" w:cs="Times New Roman" w:eastAsia="Times New Roman" w:hAnsi="Times New Roman"/>
          <w:b w:val="false"/>
          <w:bCs w:val="false"/>
          <w:i w:val="false"/>
          <w:iCs w:val="false"/>
          <w:caps w:val="false"/>
          <w:sz w:val="24"/>
          <w:szCs w:val="24"/>
        </w:rPr>
        <w:t xml:space="preserve"> — none of which has been supplied with the notice. The Company cannot know, much less meet, the case against it without the material on which that case rests. The supply of the relied-upon documents is a mandatory incident of natural justice; the time to reply can begin to run only from their supply; and where the case rests on statements, the deponents must be offered for cross-examination. The Company seeks the documents listed below and a consequential extension of time.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received the Impugned SCN dated [____] by [mode] on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basis of the SCN. </w:t>
      </w:r>
      <w:r>
        <w:rPr>
          <w:rFonts w:ascii="Times New Roman" w:cs="Times New Roman" w:eastAsia="Times New Roman" w:hAnsi="Times New Roman"/>
          <w:b w:val="false"/>
          <w:bCs w:val="false"/>
          <w:i w:val="false"/>
          <w:iCs w:val="false"/>
          <w:caps w:val="false"/>
          <w:sz w:val="24"/>
          <w:szCs w:val="24"/>
        </w:rPr>
        <w:t xml:space="preserve">The Impugned SCN alleges [fake-invoice ITC / other contraventions] on the basis of: the statement(s) of [third party / supplier]; communication(s) from [other CGST / SGST officers]; and report(s) of the DGGI / investigation wing. None of these documents is enclosed with or supplied alongside the SCN.</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relied-upon documents must be supplied — natural justice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noticee is entitled to every document relied upon against it, so that it may effectively answer the charge; withholding the foundation of the allegation while demanding a reply is a denial of natural justice. The Madras High Court, in </w:t>
      </w:r>
      <w:r>
        <w:rPr>
          <w:rFonts w:ascii="Times New Roman" w:cs="Times New Roman" w:eastAsia="Times New Roman" w:hAnsi="Times New Roman"/>
          <w:b w:val="false"/>
          <w:bCs w:val="false"/>
          <w:i/>
          <w:iCs/>
          <w:caps w:val="false"/>
          <w:sz w:val="24"/>
          <w:szCs w:val="24"/>
        </w:rPr>
        <w:t xml:space="preserve">Sri Muniappa Steels v. Assistant Commissioner</w:t>
      </w:r>
      <w:r>
        <w:rPr>
          <w:rFonts w:ascii="Times New Roman" w:cs="Times New Roman" w:eastAsia="Times New Roman" w:hAnsi="Times New Roman"/>
          <w:b w:val="false"/>
          <w:bCs w:val="false"/>
          <w:i w:val="false"/>
          <w:iCs w:val="false"/>
          <w:caps w:val="false"/>
          <w:sz w:val="24"/>
          <w:szCs w:val="24"/>
        </w:rPr>
        <w:t xml:space="preserve">, W.P. No. 10489 of 2019, dated 27.04.2021 [VERIFY] — relied upon in the Company’s record — directed the supply of the relied-upon statement where the proposal rested on a supplier’s statement recorded by the Central authorities, holding the supply necessary for natural justice. The same entitlement arises here, reinforced by Section 75(4).</w:t>
      </w:r>
    </w:p>
    <w:p>
      <w:pPr>
        <w:pStyle w:val="Heading2"/>
        <w:spacing w:after="140" w:before="200"/>
      </w:pPr>
      <w:r>
        <w:rPr>
          <w:rFonts w:ascii="Times New Roman" w:cs="Times New Roman" w:eastAsia="Times New Roman" w:hAnsi="Times New Roman"/>
          <w:b/>
          <w:bCs/>
          <w:sz w:val="24"/>
          <w:szCs w:val="24"/>
        </w:rPr>
        <w:t xml:space="preserve">Submission 2: The documents sought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requests legible, certified copies of: (i) every statement relied upon, of every deponent, with its annexures; (ii) every communication from other tax authorities referred to or relied upon; (iii) every DGGI / investigation report, alert or reference relied upon, with enclosures; (iv) the material, if any, gathered from the suppliers’ records (returns, ledgers, e-way bill data) relied upon; and (v) where any search or seizure underlies the case, the panchnama and, under Section 67(5), copies of the seized documents. If any document is claimed to be confidential, the claim may be stated document-wise with reasons, so that it can be tested.</w:t>
      </w:r>
    </w:p>
    <w:p>
      <w:pPr>
        <w:pStyle w:val="Heading2"/>
        <w:spacing w:after="140" w:before="200"/>
      </w:pPr>
      <w:r>
        <w:rPr>
          <w:rFonts w:ascii="Times New Roman" w:cs="Times New Roman" w:eastAsia="Times New Roman" w:hAnsi="Times New Roman"/>
          <w:b/>
          <w:bCs/>
          <w:sz w:val="24"/>
          <w:szCs w:val="24"/>
        </w:rPr>
        <w:t xml:space="preserve">Submission 3: Cross-examination of the deponents; and time to reply from supply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the proposed demand rests on the statements of third parties, the Company is entitled to cross-examine the deponents before any reliance is placed on those statements; the denial of cross-examination is a serious flaw that vitiates the order — </w:t>
      </w:r>
      <w:r>
        <w:rPr>
          <w:rFonts w:ascii="Times New Roman" w:cs="Times New Roman" w:eastAsia="Times New Roman" w:hAnsi="Times New Roman"/>
          <w:b w:val="false"/>
          <w:bCs w:val="false"/>
          <w:i/>
          <w:iCs/>
          <w:caps w:val="false"/>
          <w:sz w:val="24"/>
          <w:szCs w:val="24"/>
        </w:rPr>
        <w:t xml:space="preserve">Andaman Timber Industries v. CCE</w:t>
      </w:r>
      <w:r>
        <w:rPr>
          <w:rFonts w:ascii="Times New Roman" w:cs="Times New Roman" w:eastAsia="Times New Roman" w:hAnsi="Times New Roman"/>
          <w:b w:val="false"/>
          <w:bCs w:val="false"/>
          <w:i w:val="false"/>
          <w:iCs w:val="false"/>
          <w:caps w:val="false"/>
          <w:sz w:val="24"/>
          <w:szCs w:val="24"/>
        </w:rPr>
        <w:t xml:space="preserve">, 2015 (324) ELT 641 (SC) [VERIFY]. The Company requests that the deponents be summoned for cross-examination at the hearing. Further, since an effective reply is possible only with the relied-upon documents in hand, the time for the Company’s reply ought to run from the date of their complete supply; the Company undertakes to file its reply within [15/21] days thereafter.</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SUPPLY legible, certified copies of all the relied-upon documents enumerated in Submission 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EXTEND the time for the Company’s reply, to run from the date of complete supply of the documents;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SUMMON the deponents of the relied-upon statements for cross-examination at the personal hearing;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no adverse step pending compliance;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67(5), 73, 74, 75(4) of the CGST Act, 2017; Rule 142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Sri Muniappa Steels v. Assistant Commissioner, Madras HC, W.P. No. 10489 of 2019, dated 27.04.2021.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Andaman Timber Industries v. CCE, Supreme Court, 2015 (324) ELT 641 (SC).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2026-06-13T08:30:43.660Z</dcterms:created>
  <dcterms:modified xsi:type="dcterms:W3CDTF">2026-06-13T08:30:43.660Z</dcterms:modified>
</cp:coreProperties>
</file>

<file path=docProps/custom.xml><?xml version="1.0" encoding="utf-8"?>
<Properties xmlns="http://schemas.openxmlformats.org/officeDocument/2006/custom-properties" xmlns:vt="http://schemas.openxmlformats.org/officeDocument/2006/docPropsVTypes"/>
</file>