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Commissioner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Reminder and demand for disposal of the Company’s objection under Rule 159(5) against the provisional attachment of its bank accounts under Section 83 — pending without hearing or order, contrary to the binding directions in Radha Krishan Industries — objection dated 01.01.2021.</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SCN under Section 74 dated 01.01.2021; attachment under Section 83 dated 01.01.2021; the Company’s objection under Rule 159(5) dated 01.01.2021 — undecided.</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chronology dates are reproduced from the source. The extract of paragraph 56 of Radha Krishan Industries relied upon in the source is preserved; its particulars (Civil Appeal No. 1155 of 2021, decided 20.04.2021) match the verified citation.</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Company’s bank accounts stand attached under Section 83 since [date]. The Company filed its objection under Rule 159(5) on [date]. </w:t>
      </w:r>
      <w:r>
        <w:rPr>
          <w:rFonts w:ascii="Times New Roman" w:cs="Times New Roman" w:eastAsia="Times New Roman" w:hAnsi="Times New Roman"/>
          <w:b/>
          <w:bCs/>
          <w:i w:val="false"/>
          <w:iCs w:val="false"/>
          <w:caps w:val="false"/>
          <w:sz w:val="24"/>
          <w:szCs w:val="24"/>
        </w:rPr>
        <w:t xml:space="preserve">No hearing has been afforded and no order has been passed</w:t>
      </w:r>
      <w:r>
        <w:rPr>
          <w:rFonts w:ascii="Times New Roman" w:cs="Times New Roman" w:eastAsia="Times New Roman" w:hAnsi="Times New Roman"/>
          <w:b w:val="false"/>
          <w:bCs w:val="false"/>
          <w:i w:val="false"/>
          <w:iCs w:val="false"/>
          <w:caps w:val="false"/>
          <w:sz w:val="24"/>
          <w:szCs w:val="24"/>
        </w:rPr>
        <w:t xml:space="preserve"> to this day. The Hon’ble Supreme Court has held, in terms, that the Rule 159(5) objection carries a mandatory right to be heard and to a reasoned, speaking order; an attachment continued in silence is an attachment continued without adjudication. Every day of the freeze strangles a running business — salaries, suppliers and the Company’s own tax payments. The Company demands a hearing date and a speaking order forthwith, failing which it will be constrained to invoke the writ jurisdiction, with costs.</w:t>
      </w:r>
    </w:p>
    <w:p>
      <w:pPr>
        <w:pStyle w:val="Heading1"/>
        <w:spacing w:after="160" w:before="260"/>
      </w:pPr>
      <w:r>
        <w:rPr>
          <w:rFonts w:ascii="Times New Roman" w:cs="Times New Roman" w:eastAsia="Times New Roman" w:hAnsi="Times New Roman"/>
          <w:b/>
          <w:bCs/>
          <w:caps/>
          <w:sz w:val="26"/>
          <w:szCs w:val="26"/>
        </w:rPr>
        <w:t xml:space="preserve">Chronology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Date</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Event / Stage</w:t>
            </w:r>
          </w:p>
        </w:tc>
        <w:tc>
          <w:tcPr>
            <w:tcW w:type="dxa" w:w="4326"/>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Document /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01.01.2021</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Show Cause Notice under Section 74 — allegation [ABCD]</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SCN (Annexure 1)</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01.01.2021</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Bank account(s) attached under Section 83; Company learns from the bank</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DRC-22 / bank intimation (Annexure 2)</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01.01.2021</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Objection filed under Rule 159(5) — grounds: conditions of Section 83 not met; proportionality; hardship</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Objection (Annexure 3)</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Reminder [if any]</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(Annexure 4)</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Till 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No hearing afforded; no order passed on the objection</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w:t>
            </w:r>
          </w:p>
        </w:tc>
      </w:tr>
    </w:tbl>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The right to a hearing and a speaking order on the Rule 159(5) objection is mandatory — Radha Krishan Industries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In </w:t>
      </w:r>
      <w:r>
        <w:rPr>
          <w:rFonts w:ascii="Times New Roman" w:cs="Times New Roman" w:eastAsia="Times New Roman" w:hAnsi="Times New Roman"/>
          <w:b w:val="false"/>
          <w:bCs w:val="false"/>
          <w:i/>
          <w:iCs/>
          <w:caps w:val="false"/>
          <w:sz w:val="24"/>
          <w:szCs w:val="24"/>
        </w:rPr>
        <w:t xml:space="preserve">Radha Krishan Industries v. State of Himachal Pradesh</w:t>
      </w:r>
      <w:r>
        <w:rPr>
          <w:rFonts w:ascii="Times New Roman" w:cs="Times New Roman" w:eastAsia="Times New Roman" w:hAnsi="Times New Roman"/>
          <w:b w:val="false"/>
          <w:bCs w:val="false"/>
          <w:i w:val="false"/>
          <w:iCs w:val="false"/>
          <w:caps w:val="false"/>
          <w:sz w:val="24"/>
          <w:szCs w:val="24"/>
        </w:rPr>
        <w:t xml:space="preserve">, Civil Appeal No. 1155 of 2021 (arising out of SLP(C) No. 1688 of 2021), decided 20.04.2021, (2021) 6 SCC 771 / 2021 SCC OnLine SC 334, the Hon’ble Supreme Court held:</w:t>
      </w:r>
    </w:p>
    <w:p>
      <w:pPr>
        <w:spacing w:after="140" w:line="264"/>
        <w:ind w:left="720" w:right="360"/>
        <w:jc w:val="both"/>
      </w:pPr>
      <w:r>
        <w:rPr>
          <w:rFonts w:ascii="Times New Roman" w:cs="Times New Roman" w:eastAsia="Times New Roman" w:hAnsi="Times New Roman"/>
          <w:i/>
          <w:iCs/>
          <w:sz w:val="22"/>
          <w:szCs w:val="22"/>
        </w:rPr>
        <w:t xml:space="preserve">56. The second significant aspect of sub-Rule (5) is the mandatory requirement of furnishing an opportunity of being heard to the person whose property is attached. This is in consonance with the principles of natural justice and ensures that a fair procedure is observed. Sub-Rule (5) provides for a post-provisional attachment right of: (i) Submitting an objection to the attachment; (ii) An opportunity of being heard.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Court further held that the Commissioner is duty-bound to deal with the objection by a </w:t>
      </w:r>
      <w:r>
        <w:rPr>
          <w:rFonts w:ascii="Times New Roman" w:cs="Times New Roman" w:eastAsia="Times New Roman" w:hAnsi="Times New Roman"/>
          <w:b w:val="false"/>
          <w:bCs w:val="false"/>
          <w:i/>
          <w:iCs/>
          <w:caps w:val="false"/>
          <w:sz w:val="24"/>
          <w:szCs w:val="24"/>
        </w:rPr>
        <w:t xml:space="preserve">reasoned, speaking order</w:t>
      </w:r>
      <w:r>
        <w:rPr>
          <w:rFonts w:ascii="Times New Roman" w:cs="Times New Roman" w:eastAsia="Times New Roman" w:hAnsi="Times New Roman"/>
          <w:b w:val="false"/>
          <w:bCs w:val="false"/>
          <w:i w:val="false"/>
          <w:iCs w:val="false"/>
          <w:caps w:val="false"/>
          <w:sz w:val="24"/>
          <w:szCs w:val="24"/>
        </w:rPr>
        <w:t xml:space="preserve">, and deprecated the disposal of such objections without hearing or reasons. The Department’s silence here is the very vice the Supreme Court condemned: the objection is neither heard nor decided, while the attachment runs on.</w:t>
      </w:r>
    </w:p>
    <w:p>
      <w:pPr>
        <w:pStyle w:val="Heading2"/>
        <w:spacing w:after="140" w:before="200"/>
      </w:pPr>
      <w:r>
        <w:rPr>
          <w:rFonts w:ascii="Times New Roman" w:cs="Times New Roman" w:eastAsia="Times New Roman" w:hAnsi="Times New Roman"/>
          <w:b/>
          <w:bCs/>
          <w:sz w:val="24"/>
          <w:szCs w:val="24"/>
        </w:rPr>
        <w:t xml:space="preserve">Submission 2: Silence converts a provisional measure into an unadjudicated punishment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83 is a temporary, protective measure, strictly conditioned and proportionate; Rule 159(5) is the statutory safety-valve that legitimises it. When the objection is left undecided, the safety-valve is welded shut: the Company suffers the full consequence of an adverse adjudication — its working capital frozen — without any adjudication at all. The Board’s guidelines dated 23.02.2021 (F. No. CBEC-20/16/05/2021-GST/359) themselves require the Commissioner’s personal attention to attachments and their timely review. The freeze is meanwhile halting salaries, supplier payments and the Company’s ongoing tax compliance — injury that mounts daily and is attributable solely to the non-disposal.</w:t>
      </w:r>
    </w:p>
    <w:p>
      <w:pPr>
        <w:pStyle w:val="Heading2"/>
        <w:spacing w:after="140" w:before="200"/>
      </w:pPr>
      <w:r>
        <w:rPr>
          <w:rFonts w:ascii="Times New Roman" w:cs="Times New Roman" w:eastAsia="Times New Roman" w:hAnsi="Times New Roman"/>
          <w:b/>
          <w:bCs/>
          <w:sz w:val="24"/>
          <w:szCs w:val="24"/>
        </w:rPr>
        <w:t xml:space="preserve">Submission 3: Demand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accordingly demands: (i) a date of personal hearing on the Rule 159(5) objection within [seven] days of this letter; (ii) a reasoned, speaking order thereafter without delay; and (iii) pending disposal, permission to operate the account for salaries and statutory dues. Failing disposal within the time sought, the Company will be constrained to invoke Article 226, relying on Radha Krishan Industries, and to seek costs for the continued illegal restraint; this letter be treated as notice of that intent. The Company reserves its rights, including to damages.</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Learned Commissioner be pleased to:</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FIX a personal hearing on the Rule 159(5) objection within [seven] days;</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a reasoned, speaking order on the objection forthwith thereafter;</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PERMIT, pending disposal, the operation of the account for salaries and statutory dues; and</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83 of the CGST Act, 2017; Rule 159 (including sub-rule (5)) of the CGST Rules, 2017.</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Radha Krishan Industries v. State of Himachal Pradesh, Supreme Court, CA 1155/2021 (SLP(C) 1688/2021), 20.04.2021, (2021) 6 SCC 771 / 2021 SCC OnLine SC 334 (paragraph 56); CBIC guidelines dated 23.02.2021 (F. No. CBEC-20/16/05/2021-GST/359).</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SCN under Section 74. Annexure 2 — DRC-22 / bank intimation. Annexure 3 — The Rule 159(5) objection as filed. Annexure 4 — Reminder(s), if any.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6"/>
    <w:lvlOverride w:ilvl="0">
      <w:startOverride w:val="1"/>
    </w:lvlOverride>
  </w:num>
  <w:num w:numId="3">
    <w:abstractNumId w:val="7"/>
    <w:lvlOverride w:ilvl="0">
      <w:startOverride w:val="1"/>
    </w:lvlOverride>
  </w:num>
  <w:num w:numId="4">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2026-06-13T08:26:24.988Z</dcterms:created>
  <dcterms:modified xsi:type="dcterms:W3CDTF">2026-06-13T08:26:24.988Z</dcterms:modified>
</cp:coreProperties>
</file>

<file path=docProps/custom.xml><?xml version="1.0" encoding="utf-8"?>
<Properties xmlns="http://schemas.openxmlformats.org/officeDocument/2006/custom-properties" xmlns:vt="http://schemas.openxmlformats.org/officeDocument/2006/docPropsVTypes"/>
</file>