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Superintendent / Proper Officer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Anti-Evasion / Range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second summons under Section 70 issued only two days after full compliance with the first, with a record of the compliance already made and a request that the Company not be subjected to repetitive summons for the same matter — Summons Reference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First summons under Section 70 dated [____] (complied with on [____]); second summons under Section 70 dated [____].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instruction and authority is marked [VERIFY] for a final check before filing. The facts (full attendance and production on the first summons, followed by a second summons two days later for the same matter) are reproduced from the source. This is a co-operation letter that records compliance and seeks protection from repetitive, harassing summons.</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attended and fully complied with the first summons under Section 70 — its authorised person appeared on the appointed date, gave his statement, and produced every document required, leaving nothing pending. Two days later, a second summons issued for the same matter. The Company remains willing to co-operate, but respectfully places on record that </w:t>
      </w:r>
      <w:r>
        <w:rPr>
          <w:rFonts w:ascii="Times New Roman" w:cs="Times New Roman" w:eastAsia="Times New Roman" w:hAnsi="Times New Roman"/>
          <w:b/>
          <w:bCs/>
          <w:i w:val="false"/>
          <w:iCs w:val="false"/>
          <w:caps w:val="false"/>
          <w:sz w:val="24"/>
          <w:szCs w:val="24"/>
        </w:rPr>
        <w:t xml:space="preserve">repetitive summons, issued in quick succession for a matter on which compliance is complete</w:t>
      </w:r>
      <w:r>
        <w:rPr>
          <w:rFonts w:ascii="Times New Roman" w:cs="Times New Roman" w:eastAsia="Times New Roman" w:hAnsi="Times New Roman"/>
          <w:b w:val="false"/>
          <w:bCs w:val="false"/>
          <w:i w:val="false"/>
          <w:iCs w:val="false"/>
          <w:caps w:val="false"/>
          <w:sz w:val="24"/>
          <w:szCs w:val="24"/>
        </w:rPr>
        <w:t xml:space="preserve">, are contrary to the Board's own guidelines and to the settled position that the summons power, though wide, must be exercised reasonably and not as an instrument of harassment. The Company requests that the specific, additional purpose of the second summons (if any) be stated in writing, so that compliance can be made by submission, and that it not be required to appear repeatedly to no stated end.</w:t>
      </w:r>
    </w:p>
    <w:p>
      <w:pPr>
        <w:pStyle w:val="Heading1"/>
        <w:spacing w:after="160" w:before="260"/>
      </w:pPr>
      <w:r>
        <w:rPr>
          <w:rFonts w:ascii="Times New Roman" w:cs="Times New Roman" w:eastAsia="Times New Roman" w:hAnsi="Times New Roman"/>
          <w:b/>
          <w:bCs/>
          <w:caps/>
          <w:sz w:val="26"/>
          <w:szCs w:val="26"/>
        </w:rPr>
        <w:t xml:space="preserve">Factual Background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and the first summons.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By the first summons under Section 70 dated [____], the Company's [authorised person] was required to appear on [____] at 4:00 p.m. to give evidence and produce documents.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Full compliance. </w:t>
      </w:r>
      <w:r>
        <w:rPr>
          <w:rFonts w:ascii="Times New Roman" w:cs="Times New Roman" w:eastAsia="Times New Roman" w:hAnsi="Times New Roman"/>
          <w:b w:val="false"/>
          <w:bCs w:val="false"/>
          <w:i w:val="false"/>
          <w:iCs w:val="false"/>
          <w:caps w:val="false"/>
          <w:sz w:val="24"/>
          <w:szCs w:val="24"/>
        </w:rPr>
        <w:t xml:space="preserve">The authorised person appeared on the appointed date, his statement was recorded, and all the documents required by the summons were produced / submitted, with nothing left pending at the Company's end (acknowledgment at Annexure 1).</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second summons. </w:t>
      </w:r>
      <w:r>
        <w:rPr>
          <w:rFonts w:ascii="Times New Roman" w:cs="Times New Roman" w:eastAsia="Times New Roman" w:hAnsi="Times New Roman"/>
          <w:b w:val="false"/>
          <w:bCs w:val="false"/>
          <w:i w:val="false"/>
          <w:iCs w:val="false"/>
          <w:caps w:val="false"/>
          <w:sz w:val="24"/>
          <w:szCs w:val="24"/>
        </w:rPr>
        <w:t xml:space="preserve">Only two days later, a second summons under Section 70 dated [____] was issued requiring attendance again, on the same matter, without stating any new or specific purpose not already addressed.</w:t>
      </w:r>
    </w:p>
    <w:p>
      <w:pPr>
        <w:pStyle w:val="Heading1"/>
        <w:spacing w:after="160" w:before="260"/>
      </w:pPr>
      <w:r>
        <w:rPr>
          <w:rFonts w:ascii="Times New Roman" w:cs="Times New Roman" w:eastAsia="Times New Roman" w:hAnsi="Times New Roman"/>
          <w:b/>
          <w:bCs/>
          <w:caps/>
          <w:sz w:val="26"/>
          <w:szCs w:val="26"/>
        </w:rPr>
        <w:t xml:space="preserve">Submissions / Requests</w:t>
      </w:r>
    </w:p>
    <w:p>
      <w:pPr>
        <w:pStyle w:val="Heading2"/>
        <w:spacing w:after="140" w:before="200"/>
      </w:pPr>
      <w:r>
        <w:rPr>
          <w:rFonts w:ascii="Times New Roman" w:cs="Times New Roman" w:eastAsia="Times New Roman" w:hAnsi="Times New Roman"/>
          <w:b/>
          <w:bCs/>
          <w:sz w:val="24"/>
          <w:szCs w:val="24"/>
        </w:rPr>
        <w:t xml:space="preserve">Submission 1: The summons power must be exercised reasonably, not repetitively or to harass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70 confers on the proper officer the power of a civil court to summon a person to give evidence or produce documents in an inquiry, the inquiry being a ‘judicial proceeding’ under Sections 193 and 228 IPC. The power is wide, but it is to be exercised reasonably and for the purpose of the inquiry — not repetitively, and not so as to harass a person who has already co-operated fully. The Board's guidelines on the issuance of summons — Instruction No. 03/2022-23 (GST-Investigation) dated 17.08.2022 [VERIFY] — direct that summons be issued as a measure of last resort, with the reasons recorded and senior approval, and that repeated / unnecessary summons to a co-operating person be avoided; statutory records already available (or already produced) are not to be summoned again.</w:t>
      </w:r>
    </w:p>
    <w:p>
      <w:pPr>
        <w:pStyle w:val="Heading2"/>
        <w:spacing w:after="140" w:before="200"/>
      </w:pPr>
      <w:r>
        <w:rPr>
          <w:rFonts w:ascii="Times New Roman" w:cs="Times New Roman" w:eastAsia="Times New Roman" w:hAnsi="Times New Roman"/>
          <w:b/>
          <w:bCs/>
          <w:sz w:val="24"/>
          <w:szCs w:val="24"/>
        </w:rPr>
        <w:t xml:space="preserve">Submission 2: Compliance is complete; the additional purpose, if any, should be stated in writing</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has already given its statement and produced all that the first summons required. If the Department genuinely requires some specific, additional document or information not already furnished, the Company requests that it be identified in writing, so that compliance can be made by submission without a further personal appearance. The Company reiterates its full co-operation and undertakes to respond promptly to any such specific written requirement.</w:t>
      </w:r>
    </w:p>
    <w:p>
      <w:pPr>
        <w:pStyle w:val="Heading2"/>
        <w:spacing w:after="140" w:before="200"/>
      </w:pPr>
      <w:r>
        <w:rPr>
          <w:rFonts w:ascii="Times New Roman" w:cs="Times New Roman" w:eastAsia="Times New Roman" w:hAnsi="Times New Roman"/>
          <w:b/>
          <w:bCs/>
          <w:sz w:val="24"/>
          <w:szCs w:val="24"/>
        </w:rPr>
        <w:t xml:space="preserve">Submission 3: Safeguards on any further statement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Should a further statement nonetheless be considered necessary, the Company requests that it be recorded during office hours, that the deponent be furnished a copy, and that the Company's authorised representative / advocate be permitted to remain present at a visible, though not audible, distance — consistently with </w:t>
      </w:r>
      <w:r>
        <w:rPr>
          <w:rFonts w:ascii="Times New Roman" w:cs="Times New Roman" w:eastAsia="Times New Roman" w:hAnsi="Times New Roman"/>
          <w:b w:val="false"/>
          <w:bCs w:val="false"/>
          <w:i/>
          <w:iCs/>
          <w:caps w:val="false"/>
          <w:sz w:val="24"/>
          <w:szCs w:val="24"/>
        </w:rPr>
        <w:t xml:space="preserve">Poolpandi v. Superintendent, Central Excise</w:t>
      </w:r>
      <w:r>
        <w:rPr>
          <w:rFonts w:ascii="Times New Roman" w:cs="Times New Roman" w:eastAsia="Times New Roman" w:hAnsi="Times New Roman"/>
          <w:b w:val="false"/>
          <w:bCs w:val="false"/>
          <w:i w:val="false"/>
          <w:iCs w:val="false"/>
          <w:caps w:val="false"/>
          <w:sz w:val="24"/>
          <w:szCs w:val="24"/>
        </w:rPr>
        <w:t xml:space="preserve">, (1992) 3 SCC 259, as moderated in </w:t>
      </w:r>
      <w:r>
        <w:rPr>
          <w:rFonts w:ascii="Times New Roman" w:cs="Times New Roman" w:eastAsia="Times New Roman" w:hAnsi="Times New Roman"/>
          <w:b w:val="false"/>
          <w:bCs w:val="false"/>
          <w:i/>
          <w:iCs/>
          <w:caps w:val="false"/>
          <w:sz w:val="24"/>
          <w:szCs w:val="24"/>
        </w:rPr>
        <w:t xml:space="preserve">Senior Intelligence Officer, DRI v. Jugal Kishore Samra</w:t>
      </w:r>
      <w:r>
        <w:rPr>
          <w:rFonts w:ascii="Times New Roman" w:cs="Times New Roman" w:eastAsia="Times New Roman" w:hAnsi="Times New Roman"/>
          <w:b w:val="false"/>
          <w:bCs w:val="false"/>
          <w:i w:val="false"/>
          <w:iCs w:val="false"/>
          <w:caps w:val="false"/>
          <w:sz w:val="24"/>
          <w:szCs w:val="24"/>
        </w:rPr>
        <w:t xml:space="preserve">, (2011) 12 SCC 362.</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TAKE on record the Company's full compliance with the first summons;</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STATE in writing the specific, additional purpose of the second summons, if any, so that compliance may be made by submission, and REFRAIN from repetitive summons on a matter already complied with;</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CONDUCT any further statement in accordance with the safeguards in Submission 3;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directions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further submissions and to be heard.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 70 of the CGST Act, 2017 (read with Sections 193 and 228 of the Indian Penal Code).</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Instruction No. 03/2022-23 (GST-Investigation) dated 17.08.2022 (guidelines on the issuance of summons).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Poolpandi v. Superintendent, Central Excise, (1992) 3 SCC 259; Senior Intelligence Officer, DRI v. Jugal Kishore Samra, (2011) 12 SCC 362.</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Acknowledgment / record evidencing attendance on, and production of documents pursuant to, the first summons.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Copies of the first and second summons.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2026-06-13T08:26:25.398Z</dcterms:created>
  <dcterms:modified xsi:type="dcterms:W3CDTF">2026-06-13T08:26:25.398Z</dcterms:modified>
</cp:coreProperties>
</file>

<file path=docProps/custom.xml><?xml version="1.0" encoding="utf-8"?>
<Properties xmlns="http://schemas.openxmlformats.org/officeDocument/2006/custom-properties" xmlns:vt="http://schemas.openxmlformats.org/officeDocument/2006/docPropsVTypes"/>
</file>