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of State Tax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memo requiring the Company to explain why transitional credit of the erstwhile VAT regime, carried forward in Form GST TRAN-1, should be allowed after the time limit, the transitional credit being a vested right that cannot be extinguished for a procedural delay, and the filing window having since been reopened by the Supreme Court — Memo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Memo No. [____] dated [____] seeking explanation on the TRAN-1 transitional credit.</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authority is marked [VERIFY] for a final check before filing, save the verified Filco particulars. The facts (a memo questioning the allowance of TRAN-1 transitional credit after the time limit) are reproduced from the source, as are the source's reliance on A.B. Pal Electricals (preserved for the Article 300A “property” principle) and Brand Equity Treaties (now relied on for context only: it was stayed by the Supreme Court on 19.06.2020, and the entitlement is rested on Filco, per the corrections incorporated).</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memo questions why the Company's transitional credit of the erstwhile VAT regime, carried forward in Form GST TRAN-1, should be allowed ‘after the time limit’. The answer is settled. Transitional credit is the Company's </w:t>
      </w:r>
      <w:r>
        <w:rPr>
          <w:rFonts w:ascii="Times New Roman" w:cs="Times New Roman" w:eastAsia="Times New Roman" w:hAnsi="Times New Roman"/>
          <w:b/>
          <w:bCs/>
          <w:i w:val="false"/>
          <w:iCs w:val="false"/>
          <w:caps w:val="false"/>
          <w:sz w:val="24"/>
          <w:szCs w:val="24"/>
        </w:rPr>
        <w:t xml:space="preserve">accrued, vested right</w:t>
      </w:r>
      <w:r>
        <w:rPr>
          <w:rFonts w:ascii="Times New Roman" w:cs="Times New Roman" w:eastAsia="Times New Roman" w:hAnsi="Times New Roman"/>
          <w:b w:val="false"/>
          <w:bCs w:val="false"/>
          <w:i w:val="false"/>
          <w:iCs w:val="false"/>
          <w:caps w:val="false"/>
          <w:sz w:val="24"/>
          <w:szCs w:val="24"/>
        </w:rPr>
        <w:t xml:space="preserve"> — its ‘property’ — under the erstwhile law, carried forward into GST by Section 140; it cannot be extinguished merely because the form was filed late, the time limit for TRAN-1 being procedural and directory, not a substantive extinguishment of the right. The High Courts have so held, and the Hon'ble Supreme Court has since </w:t>
      </w:r>
      <w:r>
        <w:rPr>
          <w:rFonts w:ascii="Times New Roman" w:cs="Times New Roman" w:eastAsia="Times New Roman" w:hAnsi="Times New Roman"/>
          <w:b/>
          <w:bCs/>
          <w:i w:val="false"/>
          <w:iCs w:val="false"/>
          <w:caps w:val="false"/>
          <w:sz w:val="24"/>
          <w:szCs w:val="24"/>
        </w:rPr>
        <w:t xml:space="preserve">reopened the TRAN-1 / TRAN-2 filing window for all taxpayers</w:t>
      </w:r>
      <w:r>
        <w:rPr>
          <w:rFonts w:ascii="Times New Roman" w:cs="Times New Roman" w:eastAsia="Times New Roman" w:hAnsi="Times New Roman"/>
          <w:b w:val="false"/>
          <w:bCs w:val="false"/>
          <w:i w:val="false"/>
          <w:iCs w:val="false"/>
          <w:caps w:val="false"/>
          <w:sz w:val="24"/>
          <w:szCs w:val="24"/>
        </w:rPr>
        <w:t xml:space="preserve">. The credit ought to be allowed.</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migrated from the erstwhile VAT regime, in which it had accrued and was entitled to input tax credit of Rs. [____] as on 30 June 2017.</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carry-forward. </w:t>
      </w:r>
      <w:r>
        <w:rPr>
          <w:rFonts w:ascii="Times New Roman" w:cs="Times New Roman" w:eastAsia="Times New Roman" w:hAnsi="Times New Roman"/>
          <w:b w:val="false"/>
          <w:bCs w:val="false"/>
          <w:i w:val="false"/>
          <w:iCs w:val="false"/>
          <w:caps w:val="false"/>
          <w:sz w:val="24"/>
          <w:szCs w:val="24"/>
        </w:rPr>
        <w:t xml:space="preserve">The Company carried that credit forward into the GST regime by Form GST TRAN-1 under Section 140; the filing was [delayed / could not be completed in time owing to portal difficulties].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memo. </w:t>
      </w:r>
      <w:r>
        <w:rPr>
          <w:rFonts w:ascii="Times New Roman" w:cs="Times New Roman" w:eastAsia="Times New Roman" w:hAnsi="Times New Roman"/>
          <w:b w:val="false"/>
          <w:bCs w:val="false"/>
          <w:i w:val="false"/>
          <w:iCs w:val="false"/>
          <w:caps w:val="false"/>
          <w:sz w:val="24"/>
          <w:szCs w:val="24"/>
        </w:rPr>
        <w:t xml:space="preserve">By the memo dated [____], the Department requires the Company to explain why the transitional credit should be allowed after the time limit.</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Transitional credit is a vested right — ‘property’ — that cannot be extinguished for delay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Credit accrued under the erstwhile law is a vested right, and the assessee's ‘property’ within Article 300A, of which it cannot be deprived save by authority of law. The Delhi High Court so held in </w:t>
      </w:r>
      <w:r>
        <w:rPr>
          <w:rFonts w:ascii="Times New Roman" w:cs="Times New Roman" w:eastAsia="Times New Roman" w:hAnsi="Times New Roman"/>
          <w:b w:val="false"/>
          <w:bCs w:val="false"/>
          <w:i/>
          <w:iCs/>
          <w:caps w:val="false"/>
          <w:sz w:val="24"/>
          <w:szCs w:val="24"/>
        </w:rPr>
        <w:t xml:space="preserve">A.B. Pal Electricals Pvt. Ltd. v. Union of India</w:t>
      </w:r>
      <w:r>
        <w:rPr>
          <w:rFonts w:ascii="Times New Roman" w:cs="Times New Roman" w:eastAsia="Times New Roman" w:hAnsi="Times New Roman"/>
          <w:b w:val="false"/>
          <w:bCs w:val="false"/>
          <w:i w:val="false"/>
          <w:iCs w:val="false"/>
          <w:caps w:val="false"/>
          <w:sz w:val="24"/>
          <w:szCs w:val="24"/>
        </w:rPr>
        <w:t xml:space="preserve">, W.P.(C) 6537/2019, 2019 SCC OnLine Del 11339, decided 17.12.2019 — the credit standing in favour of an assessee is ‘property’, and no law was shown extinguishing that right for a delay in filing the form. (The Delhi High Court had also held, in </w:t>
      </w:r>
      <w:r>
        <w:rPr>
          <w:rFonts w:ascii="Times New Roman" w:cs="Times New Roman" w:eastAsia="Times New Roman" w:hAnsi="Times New Roman"/>
          <w:b w:val="false"/>
          <w:bCs w:val="false"/>
          <w:i/>
          <w:iCs/>
          <w:caps w:val="false"/>
          <w:sz w:val="24"/>
          <w:szCs w:val="24"/>
        </w:rPr>
        <w:t xml:space="preserve">Brand Equity Treaties Ltd. v. Union of India</w:t>
      </w:r>
      <w:r>
        <w:rPr>
          <w:rFonts w:ascii="Times New Roman" w:cs="Times New Roman" w:eastAsia="Times New Roman" w:hAnsi="Times New Roman"/>
          <w:b w:val="false"/>
          <w:bCs w:val="false"/>
          <w:i w:val="false"/>
          <w:iCs w:val="false"/>
          <w:caps w:val="false"/>
          <w:sz w:val="24"/>
          <w:szCs w:val="24"/>
        </w:rPr>
        <w:t xml:space="preserve">, 2020 SCC OnLine Del 1698, that the TRAN-1 time limit was directory; that decision was, however, stayed by the Hon'ble Supreme Court on 19.06.2020, and the question of the filing window now stands governed by the Supreme Court's directions in Filco, below, and by the subsequent retrospective amendment of Section 140. The Company therefore rests its entitlement on the vested-right principle in A.B. Pal and on the reopened facility under Filco, not on the directory-time-limit holding in Brand Equity.) The substantive entitlement to the accrued credit cannot be extinguished by a procedural delay.</w:t>
      </w:r>
    </w:p>
    <w:p>
      <w:pPr>
        <w:pStyle w:val="Heading2"/>
        <w:spacing w:after="140" w:before="200"/>
      </w:pPr>
      <w:r>
        <w:rPr>
          <w:rFonts w:ascii="Times New Roman" w:cs="Times New Roman" w:eastAsia="Times New Roman" w:hAnsi="Times New Roman"/>
          <w:b/>
          <w:bCs/>
          <w:sz w:val="24"/>
          <w:szCs w:val="24"/>
        </w:rPr>
        <w:t xml:space="preserve">Submission 2: The Supreme Court has reopened the TRAN-1 window for all taxpayers — Filco</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question is, in any event, concluded by the Hon'ble Supreme Court in </w:t>
      </w:r>
      <w:r>
        <w:rPr>
          <w:rFonts w:ascii="Times New Roman" w:cs="Times New Roman" w:eastAsia="Times New Roman" w:hAnsi="Times New Roman"/>
          <w:b w:val="false"/>
          <w:bCs w:val="false"/>
          <w:i/>
          <w:iCs/>
          <w:caps w:val="false"/>
          <w:sz w:val="24"/>
          <w:szCs w:val="24"/>
        </w:rPr>
        <w:t xml:space="preserve">Union of India v. Filco Trade Centre Pvt. Ltd.</w:t>
      </w:r>
      <w:r>
        <w:rPr>
          <w:rFonts w:ascii="Times New Roman" w:cs="Times New Roman" w:eastAsia="Times New Roman" w:hAnsi="Times New Roman"/>
          <w:b w:val="false"/>
          <w:bCs w:val="false"/>
          <w:i w:val="false"/>
          <w:iCs w:val="false"/>
          <w:caps w:val="false"/>
          <w:sz w:val="24"/>
          <w:szCs w:val="24"/>
        </w:rPr>
        <w:t xml:space="preserve">, SLP(C) Nos. 32709-32710 of 2018, by orders dated 22.07.2022 and 02.09.2022, directing the Goods and Services Tax Network to open the common portal for the filing / revision of Form GST TRAN-1 and TRAN-2 for </w:t>
      </w:r>
      <w:r>
        <w:rPr>
          <w:rFonts w:ascii="Times New Roman" w:cs="Times New Roman" w:eastAsia="Times New Roman" w:hAnsi="Times New Roman"/>
          <w:b w:val="false"/>
          <w:bCs w:val="false"/>
          <w:i/>
          <w:iCs/>
          <w:caps w:val="false"/>
          <w:sz w:val="24"/>
          <w:szCs w:val="24"/>
        </w:rPr>
        <w:t xml:space="preserve">all aggrieved registered assessees</w:t>
      </w:r>
      <w:r>
        <w:rPr>
          <w:rFonts w:ascii="Times New Roman" w:cs="Times New Roman" w:eastAsia="Times New Roman" w:hAnsi="Times New Roman"/>
          <w:b w:val="false"/>
          <w:bCs w:val="false"/>
          <w:i w:val="false"/>
          <w:iCs w:val="false"/>
          <w:caps w:val="false"/>
          <w:sz w:val="24"/>
          <w:szCs w:val="24"/>
        </w:rPr>
        <w:t xml:space="preserve"> — irrespective of whether they had approached a court or the ITGRC — for a specified window (in the event, 1 October 2022 to 30 November 2022), with verification by the officers thereafter per Circular No. 180/12/2022-GST dated 09.09.2022. The Company is entitled to the benefit of that reopened facility, and the verification of its claim must proceed on the merits — not be refused on limitation.</w:t>
      </w:r>
    </w:p>
    <w:p>
      <w:pPr>
        <w:pStyle w:val="Heading2"/>
        <w:spacing w:after="140" w:before="200"/>
      </w:pPr>
      <w:r>
        <w:rPr>
          <w:rFonts w:ascii="Times New Roman" w:cs="Times New Roman" w:eastAsia="Times New Roman" w:hAnsi="Times New Roman"/>
          <w:b/>
          <w:bCs/>
          <w:sz w:val="24"/>
          <w:szCs w:val="24"/>
        </w:rPr>
        <w:t xml:space="preserve">Submission 3: The claim is genuine and verifiable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Company's transitional credit is its genuine accrued credit, supported by the erstwhile returns evidencing the closing balance, the assessment records, and the purchase documents (Annexures 1–2). The Company is ready to furnish whatever the verification framework requires and to be heard. It requests that the credit be allowed / verified on the merits, and that no recovery or reversal be made except by due process under Sections 73/74 after a hearing.</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transitional credit is a vested right that cannot be extinguished for a procedural delay in filing Form GST TRAN-1;</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ALLOW / VERIFY the transitional credit on the merits, in terms of the reopened facility under Filco and Circular No. 180/12/2022-GST;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AFFORD the Company a hearing, and MAKE no reversal except by due process under Sections 73/74;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140 of the CGST Act, 2017; Rules 117–121 of the CGST Rules, 2017; Article 300A of the Constitution.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Union of India v. Filco Trade Centre Pvt. Ltd., Supreme Court, SLP(C) Nos. 32709-32710 of 2018, orders dated 22.07.2022 and 02.09.2022; Circular No. 180/12/2022-GST dated 09.09.2022.</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A.B. Pal Electricals Pvt. Ltd. v. Union of India, Delhi HC, W.P.(C) 6537/2019, 2019 SCC OnLine Del 11339, 17.12.2019 (Article 300A — credit is ‘property’); Brand Equity Treaties Ltd. v. Union of India, Delhi HC, 2020 SCC OnLine Del 1698 (TRAN-1 time limit held directory; stayed by the Supreme Court on 19.06.2020 — cited for context only, not as operative authority); Union of India v. Filco Trade Centre Pvt. Ltd., Supreme Court, SLP(C) 32709-32710/2018, orders dated 22.07.2022 and 02.09.2022.</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Erstwhile VAT returns evidencing the closing credit balance as on 30 June 2017.</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Form GST TRAN-1 and the supporting purchase / assessment records.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2026-06-13T08:26:25.433Z</dcterms:created>
  <dcterms:modified xsi:type="dcterms:W3CDTF">2026-06-13T08:26:25.433Z</dcterms:modified>
</cp:coreProperties>
</file>

<file path=docProps/custom.xml><?xml version="1.0" encoding="utf-8"?>
<Properties xmlns="http://schemas.openxmlformats.org/officeDocument/2006/custom-properties" xmlns:vt="http://schemas.openxmlformats.org/officeDocument/2006/docPropsVTypes"/>
</file>